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3DD" w:rsidRPr="00551863" w:rsidRDefault="008643DD" w:rsidP="001C35B6">
      <w:pPr>
        <w:contextualSpacing/>
        <w:mirrorIndents/>
        <w:jc w:val="both"/>
        <w:rPr>
          <w:rFonts w:cs="Times New Roman"/>
          <w:b/>
          <w:sz w:val="20"/>
          <w:szCs w:val="20"/>
        </w:rPr>
      </w:pPr>
      <w:r w:rsidRPr="00390274">
        <w:rPr>
          <w:rFonts w:cs="Times New Roman"/>
          <w:b/>
          <w:sz w:val="22"/>
          <w:szCs w:val="20"/>
        </w:rPr>
        <w:t>Research Article</w:t>
      </w:r>
    </w:p>
    <w:p w:rsidR="008643DD" w:rsidRPr="001C35B6" w:rsidRDefault="008643DD" w:rsidP="001C35B6">
      <w:pPr>
        <w:contextualSpacing/>
        <w:mirrorIndents/>
        <w:jc w:val="both"/>
        <w:rPr>
          <w:rFonts w:cs="Times New Roman"/>
          <w:sz w:val="20"/>
          <w:szCs w:val="20"/>
        </w:rPr>
      </w:pPr>
    </w:p>
    <w:p w:rsidR="00A00AC6" w:rsidRPr="00551863" w:rsidRDefault="00A00AC6" w:rsidP="00551863">
      <w:pPr>
        <w:contextualSpacing/>
        <w:mirrorIndents/>
        <w:jc w:val="center"/>
        <w:rPr>
          <w:rFonts w:cs="Times New Roman"/>
          <w:b/>
          <w:sz w:val="30"/>
          <w:szCs w:val="30"/>
        </w:rPr>
      </w:pPr>
      <w:r w:rsidRPr="00551863">
        <w:rPr>
          <w:rFonts w:cs="Times New Roman"/>
          <w:b/>
          <w:sz w:val="30"/>
          <w:szCs w:val="30"/>
        </w:rPr>
        <w:t>Application of 24-Hour Ambulatory Blood Pressure Monitoring to Measure the Effect of COVID-19 Infection on Cardiovascular Health: A Pilot Study</w:t>
      </w:r>
    </w:p>
    <w:p w:rsidR="00A00AC6" w:rsidRPr="001C35B6" w:rsidRDefault="00A00AC6" w:rsidP="001C35B6">
      <w:pPr>
        <w:contextualSpacing/>
        <w:mirrorIndents/>
        <w:jc w:val="both"/>
        <w:rPr>
          <w:rFonts w:cs="Times New Roman"/>
          <w:sz w:val="20"/>
          <w:szCs w:val="20"/>
        </w:rPr>
      </w:pPr>
    </w:p>
    <w:p w:rsidR="00A00AC6" w:rsidRPr="001C336B" w:rsidRDefault="00A00AC6" w:rsidP="001C35B6">
      <w:pPr>
        <w:contextualSpacing/>
        <w:mirrorIndents/>
        <w:jc w:val="both"/>
        <w:rPr>
          <w:rFonts w:cs="Times New Roman"/>
          <w:b/>
          <w:sz w:val="22"/>
          <w:szCs w:val="22"/>
        </w:rPr>
      </w:pPr>
      <w:proofErr w:type="spellStart"/>
      <w:r w:rsidRPr="001C336B">
        <w:rPr>
          <w:rFonts w:cs="Times New Roman"/>
          <w:b/>
          <w:sz w:val="22"/>
          <w:szCs w:val="22"/>
        </w:rPr>
        <w:t>Mulubrhan</w:t>
      </w:r>
      <w:proofErr w:type="spellEnd"/>
      <w:r w:rsidRPr="001C336B">
        <w:rPr>
          <w:rFonts w:cs="Times New Roman"/>
          <w:b/>
          <w:sz w:val="22"/>
          <w:szCs w:val="22"/>
        </w:rPr>
        <w:t xml:space="preserve"> F. Mogos</w:t>
      </w:r>
      <w:r w:rsidR="007214E4" w:rsidRPr="007214E4">
        <w:rPr>
          <w:rFonts w:cs="Times New Roman"/>
          <w:b/>
          <w:color w:val="FF0000"/>
          <w:sz w:val="22"/>
          <w:szCs w:val="22"/>
          <w:vertAlign w:val="superscript"/>
        </w:rPr>
        <w:t>1</w:t>
      </w:r>
      <w:r w:rsidR="00F17FB4">
        <w:rPr>
          <w:rFonts w:cs="Times New Roman"/>
          <w:b/>
          <w:color w:val="FF0000"/>
          <w:sz w:val="22"/>
          <w:szCs w:val="22"/>
          <w:vertAlign w:val="superscript"/>
        </w:rPr>
        <w:t>#</w:t>
      </w:r>
      <w:r w:rsidRPr="001C336B">
        <w:rPr>
          <w:rFonts w:cs="Times New Roman"/>
          <w:b/>
          <w:sz w:val="22"/>
          <w:szCs w:val="22"/>
        </w:rPr>
        <w:t>, PhD, MSc</w:t>
      </w:r>
      <w:r w:rsidRPr="00387CF0">
        <w:rPr>
          <w:rFonts w:eastAsia="Times New Roman" w:cs="Times New Roman"/>
          <w:b/>
          <w:color w:val="FF0000"/>
          <w:sz w:val="22"/>
          <w:szCs w:val="22"/>
          <w:vertAlign w:val="superscript"/>
        </w:rPr>
        <w:t>1</w:t>
      </w:r>
      <w:r w:rsidRPr="001C336B">
        <w:rPr>
          <w:rFonts w:cs="Times New Roman"/>
          <w:b/>
          <w:sz w:val="22"/>
          <w:szCs w:val="22"/>
        </w:rPr>
        <w:t xml:space="preserve">; </w:t>
      </w:r>
      <w:proofErr w:type="spellStart"/>
      <w:r w:rsidRPr="001C336B">
        <w:rPr>
          <w:rFonts w:cs="Times New Roman"/>
          <w:b/>
          <w:sz w:val="22"/>
          <w:szCs w:val="22"/>
        </w:rPr>
        <w:t>Soojung</w:t>
      </w:r>
      <w:proofErr w:type="spellEnd"/>
      <w:r w:rsidRPr="001C336B">
        <w:rPr>
          <w:rFonts w:cs="Times New Roman"/>
          <w:b/>
          <w:sz w:val="22"/>
          <w:szCs w:val="22"/>
        </w:rPr>
        <w:t xml:space="preserve"> </w:t>
      </w:r>
      <w:proofErr w:type="spellStart"/>
      <w:r w:rsidRPr="001C336B">
        <w:rPr>
          <w:rFonts w:cs="Times New Roman"/>
          <w:b/>
          <w:sz w:val="22"/>
          <w:szCs w:val="22"/>
        </w:rPr>
        <w:t>Ahn</w:t>
      </w:r>
      <w:proofErr w:type="spellEnd"/>
      <w:r w:rsidRPr="001C336B">
        <w:rPr>
          <w:rFonts w:cs="Times New Roman"/>
          <w:b/>
          <w:sz w:val="22"/>
          <w:szCs w:val="22"/>
        </w:rPr>
        <w:t>, PhD, RN</w:t>
      </w:r>
      <w:r w:rsidRPr="004560E2">
        <w:rPr>
          <w:rFonts w:eastAsia="Times New Roman" w:cs="Times New Roman"/>
          <w:b/>
          <w:color w:val="FF0000"/>
          <w:sz w:val="22"/>
          <w:szCs w:val="22"/>
          <w:vertAlign w:val="superscript"/>
        </w:rPr>
        <w:t>1</w:t>
      </w:r>
      <w:r w:rsidR="00AC4716">
        <w:rPr>
          <w:rFonts w:cs="Times New Roman"/>
          <w:b/>
          <w:sz w:val="22"/>
          <w:szCs w:val="22"/>
        </w:rPr>
        <w:t>,</w:t>
      </w:r>
      <w:r w:rsidRPr="001C336B">
        <w:rPr>
          <w:rFonts w:cs="Times New Roman"/>
          <w:b/>
          <w:sz w:val="22"/>
          <w:szCs w:val="22"/>
        </w:rPr>
        <w:t xml:space="preserve"> James </w:t>
      </w:r>
      <w:proofErr w:type="spellStart"/>
      <w:r w:rsidRPr="001C336B">
        <w:rPr>
          <w:rFonts w:cs="Times New Roman"/>
          <w:b/>
          <w:sz w:val="22"/>
          <w:szCs w:val="22"/>
        </w:rPr>
        <w:t>Muchira</w:t>
      </w:r>
      <w:proofErr w:type="spellEnd"/>
      <w:r w:rsidRPr="001C336B">
        <w:rPr>
          <w:rFonts w:cs="Times New Roman"/>
          <w:b/>
          <w:sz w:val="22"/>
          <w:szCs w:val="22"/>
        </w:rPr>
        <w:t>, PhD</w:t>
      </w:r>
      <w:r w:rsidRPr="009E7CF5">
        <w:rPr>
          <w:rFonts w:eastAsia="Times New Roman" w:cs="Times New Roman"/>
          <w:b/>
          <w:color w:val="FF0000"/>
          <w:sz w:val="22"/>
          <w:szCs w:val="22"/>
          <w:vertAlign w:val="superscript"/>
        </w:rPr>
        <w:t>1</w:t>
      </w:r>
      <w:r w:rsidR="004311BC">
        <w:rPr>
          <w:rFonts w:cs="Times New Roman"/>
          <w:b/>
          <w:sz w:val="22"/>
          <w:szCs w:val="22"/>
        </w:rPr>
        <w:t>,</w:t>
      </w:r>
      <w:r w:rsidRPr="001C336B">
        <w:rPr>
          <w:rFonts w:cs="Times New Roman"/>
          <w:b/>
          <w:sz w:val="22"/>
          <w:szCs w:val="22"/>
        </w:rPr>
        <w:t xml:space="preserve"> </w:t>
      </w:r>
      <w:proofErr w:type="spellStart"/>
      <w:r w:rsidRPr="001C336B">
        <w:rPr>
          <w:rFonts w:cs="Times New Roman"/>
          <w:b/>
          <w:sz w:val="22"/>
          <w:szCs w:val="22"/>
        </w:rPr>
        <w:t>Chorong</w:t>
      </w:r>
      <w:proofErr w:type="spellEnd"/>
      <w:r w:rsidRPr="001C336B">
        <w:rPr>
          <w:rFonts w:cs="Times New Roman"/>
          <w:b/>
          <w:sz w:val="22"/>
          <w:szCs w:val="22"/>
        </w:rPr>
        <w:t xml:space="preserve"> Park, PhD</w:t>
      </w:r>
      <w:r w:rsidRPr="009A0CF9">
        <w:rPr>
          <w:rFonts w:eastAsia="Times New Roman" w:cs="Times New Roman"/>
          <w:b/>
          <w:color w:val="FF0000"/>
          <w:sz w:val="22"/>
          <w:szCs w:val="22"/>
          <w:vertAlign w:val="superscript"/>
        </w:rPr>
        <w:t>1</w:t>
      </w:r>
      <w:r w:rsidR="00674343">
        <w:rPr>
          <w:rFonts w:cs="Times New Roman"/>
          <w:b/>
          <w:sz w:val="22"/>
          <w:szCs w:val="22"/>
        </w:rPr>
        <w:t>,</w:t>
      </w:r>
      <w:r w:rsidRPr="001C336B">
        <w:rPr>
          <w:rFonts w:cs="Times New Roman"/>
          <w:b/>
          <w:sz w:val="22"/>
          <w:szCs w:val="22"/>
        </w:rPr>
        <w:t xml:space="preserve"> </w:t>
      </w:r>
      <w:r w:rsidRPr="001C336B">
        <w:rPr>
          <w:rFonts w:eastAsia="Times New Roman" w:cs="Times New Roman"/>
          <w:b/>
          <w:sz w:val="22"/>
          <w:szCs w:val="22"/>
        </w:rPr>
        <w:t>Joshua H van der Eerden</w:t>
      </w:r>
      <w:r w:rsidRPr="005B1692">
        <w:rPr>
          <w:rFonts w:eastAsia="Times New Roman" w:cs="Times New Roman"/>
          <w:b/>
          <w:color w:val="FF0000"/>
          <w:sz w:val="22"/>
          <w:szCs w:val="22"/>
          <w:vertAlign w:val="superscript"/>
        </w:rPr>
        <w:t>2</w:t>
      </w:r>
      <w:r w:rsidR="005F2F03">
        <w:rPr>
          <w:rFonts w:eastAsia="Times New Roman" w:cs="Times New Roman"/>
          <w:b/>
          <w:sz w:val="22"/>
          <w:szCs w:val="22"/>
        </w:rPr>
        <w:t xml:space="preserve">, </w:t>
      </w:r>
      <w:proofErr w:type="spellStart"/>
      <w:r w:rsidRPr="001C336B">
        <w:rPr>
          <w:rFonts w:cs="Times New Roman"/>
          <w:b/>
          <w:sz w:val="22"/>
          <w:szCs w:val="22"/>
        </w:rPr>
        <w:t>Haileab</w:t>
      </w:r>
      <w:proofErr w:type="spellEnd"/>
      <w:r w:rsidRPr="001C336B">
        <w:rPr>
          <w:rFonts w:cs="Times New Roman"/>
          <w:b/>
          <w:sz w:val="22"/>
          <w:szCs w:val="22"/>
        </w:rPr>
        <w:t xml:space="preserve"> T. </w:t>
      </w:r>
      <w:proofErr w:type="spellStart"/>
      <w:r w:rsidRPr="001C336B">
        <w:rPr>
          <w:rFonts w:cs="Times New Roman"/>
          <w:b/>
          <w:sz w:val="22"/>
          <w:szCs w:val="22"/>
        </w:rPr>
        <w:t>Hilafu</w:t>
      </w:r>
      <w:proofErr w:type="spellEnd"/>
      <w:r w:rsidRPr="001C336B">
        <w:rPr>
          <w:rFonts w:cs="Times New Roman"/>
          <w:b/>
          <w:sz w:val="22"/>
          <w:szCs w:val="22"/>
        </w:rPr>
        <w:t>, PhD</w:t>
      </w:r>
      <w:r w:rsidRPr="00BC6405">
        <w:rPr>
          <w:rFonts w:eastAsia="Times New Roman" w:cs="Times New Roman"/>
          <w:b/>
          <w:color w:val="FF0000"/>
          <w:sz w:val="22"/>
          <w:szCs w:val="22"/>
          <w:vertAlign w:val="superscript"/>
        </w:rPr>
        <w:t>3</w:t>
      </w:r>
    </w:p>
    <w:p w:rsidR="00A00AC6" w:rsidRPr="001C35B6" w:rsidRDefault="00A00AC6" w:rsidP="001C35B6">
      <w:pPr>
        <w:contextualSpacing/>
        <w:mirrorIndents/>
        <w:jc w:val="both"/>
        <w:rPr>
          <w:rFonts w:cs="Times New Roman"/>
          <w:sz w:val="20"/>
          <w:szCs w:val="20"/>
        </w:rPr>
      </w:pPr>
    </w:p>
    <w:p w:rsidR="00A00AC6" w:rsidRPr="001C35B6" w:rsidRDefault="00A00AC6" w:rsidP="001C35B6">
      <w:pPr>
        <w:contextualSpacing/>
        <w:mirrorIndents/>
        <w:jc w:val="both"/>
        <w:rPr>
          <w:rFonts w:eastAsia="Times New Roman" w:cs="Times New Roman"/>
          <w:sz w:val="20"/>
          <w:szCs w:val="20"/>
        </w:rPr>
      </w:pPr>
      <w:r w:rsidRPr="00360C52">
        <w:rPr>
          <w:rFonts w:eastAsia="Times New Roman" w:cs="Times New Roman"/>
          <w:color w:val="FF0000"/>
          <w:sz w:val="20"/>
          <w:szCs w:val="20"/>
          <w:vertAlign w:val="superscript"/>
        </w:rPr>
        <w:t>1</w:t>
      </w:r>
      <w:r w:rsidR="00790F6F">
        <w:rPr>
          <w:rFonts w:eastAsia="Times New Roman" w:cs="Times New Roman"/>
          <w:color w:val="FF0000"/>
          <w:sz w:val="20"/>
          <w:szCs w:val="20"/>
          <w:vertAlign w:val="superscript"/>
        </w:rPr>
        <w:t>#</w:t>
      </w:r>
      <w:r w:rsidRPr="001C35B6">
        <w:rPr>
          <w:rFonts w:eastAsia="Times New Roman" w:cs="Times New Roman"/>
          <w:sz w:val="20"/>
          <w:szCs w:val="20"/>
        </w:rPr>
        <w:t xml:space="preserve">Center for Research Development and Scholarship, Vanderbilt University, School of Nursing, Nashville, </w:t>
      </w:r>
      <w:r w:rsidR="0031355A" w:rsidRPr="0031355A">
        <w:rPr>
          <w:rFonts w:eastAsia="Times New Roman" w:cs="Times New Roman"/>
          <w:sz w:val="20"/>
          <w:szCs w:val="20"/>
        </w:rPr>
        <w:t>Tennessee</w:t>
      </w:r>
      <w:r w:rsidRPr="001C35B6">
        <w:rPr>
          <w:rFonts w:eastAsia="Times New Roman" w:cs="Times New Roman"/>
          <w:sz w:val="20"/>
          <w:szCs w:val="20"/>
        </w:rPr>
        <w:t xml:space="preserve">, USA </w:t>
      </w:r>
    </w:p>
    <w:p w:rsidR="00A00AC6" w:rsidRPr="001C35B6" w:rsidRDefault="00A00AC6" w:rsidP="001C35B6">
      <w:pPr>
        <w:contextualSpacing/>
        <w:mirrorIndents/>
        <w:jc w:val="both"/>
        <w:rPr>
          <w:rFonts w:cs="Times New Roman"/>
          <w:sz w:val="20"/>
          <w:szCs w:val="20"/>
        </w:rPr>
      </w:pPr>
      <w:r w:rsidRPr="00360C52">
        <w:rPr>
          <w:rFonts w:eastAsia="Times New Roman" w:cs="Times New Roman"/>
          <w:color w:val="FF0000"/>
          <w:sz w:val="20"/>
          <w:szCs w:val="20"/>
          <w:vertAlign w:val="superscript"/>
        </w:rPr>
        <w:t>2</w:t>
      </w:r>
      <w:r w:rsidRPr="001C35B6">
        <w:rPr>
          <w:rFonts w:cs="Times New Roman"/>
          <w:sz w:val="20"/>
          <w:szCs w:val="20"/>
        </w:rPr>
        <w:t xml:space="preserve">Medical College of Georgia, Augusta University, Augusta, </w:t>
      </w:r>
      <w:r w:rsidR="00946DB5" w:rsidRPr="00946DB5">
        <w:rPr>
          <w:rFonts w:cs="Times New Roman"/>
          <w:sz w:val="20"/>
          <w:szCs w:val="20"/>
        </w:rPr>
        <w:t>Georgia</w:t>
      </w:r>
      <w:r w:rsidRPr="001C35B6">
        <w:rPr>
          <w:rFonts w:cs="Times New Roman"/>
          <w:sz w:val="20"/>
          <w:szCs w:val="20"/>
        </w:rPr>
        <w:t>, USA</w:t>
      </w:r>
    </w:p>
    <w:p w:rsidR="00087ECF" w:rsidRDefault="00A00AC6" w:rsidP="001C35B6">
      <w:pPr>
        <w:contextualSpacing/>
        <w:mirrorIndents/>
        <w:jc w:val="both"/>
        <w:rPr>
          <w:rFonts w:eastAsia="Times New Roman" w:cs="Times New Roman"/>
          <w:color w:val="000000"/>
          <w:kern w:val="0"/>
          <w:sz w:val="20"/>
          <w:szCs w:val="20"/>
        </w:rPr>
      </w:pPr>
      <w:r w:rsidRPr="00360C52">
        <w:rPr>
          <w:rFonts w:eastAsia="Times New Roman" w:cs="Times New Roman"/>
          <w:color w:val="FF0000"/>
          <w:sz w:val="20"/>
          <w:szCs w:val="20"/>
          <w:vertAlign w:val="superscript"/>
        </w:rPr>
        <w:t>3</w:t>
      </w:r>
      <w:r w:rsidRPr="001C35B6">
        <w:rPr>
          <w:rFonts w:eastAsia="Times New Roman" w:cs="Times New Roman"/>
          <w:color w:val="000000"/>
          <w:kern w:val="0"/>
          <w:sz w:val="20"/>
          <w:szCs w:val="20"/>
        </w:rPr>
        <w:t xml:space="preserve">Department of Business Analytics and Statistics, University of Tennessee, Knoxville, </w:t>
      </w:r>
      <w:r w:rsidR="009B534C" w:rsidRPr="009B534C">
        <w:rPr>
          <w:rFonts w:eastAsia="Times New Roman" w:cs="Times New Roman"/>
          <w:color w:val="000000"/>
          <w:kern w:val="0"/>
          <w:sz w:val="20"/>
          <w:szCs w:val="20"/>
        </w:rPr>
        <w:t>Tennessee</w:t>
      </w:r>
      <w:r w:rsidRPr="001C35B6">
        <w:rPr>
          <w:rFonts w:eastAsia="Times New Roman" w:cs="Times New Roman"/>
          <w:color w:val="000000"/>
          <w:kern w:val="0"/>
          <w:sz w:val="20"/>
          <w:szCs w:val="20"/>
        </w:rPr>
        <w:t>, USA</w:t>
      </w:r>
    </w:p>
    <w:p w:rsidR="00730302" w:rsidRPr="001C35B6" w:rsidRDefault="00730302" w:rsidP="001C35B6">
      <w:pPr>
        <w:contextualSpacing/>
        <w:mirrorIndents/>
        <w:jc w:val="both"/>
        <w:rPr>
          <w:rFonts w:eastAsia="Times New Roman" w:cs="Times New Roman"/>
          <w:color w:val="000000"/>
          <w:kern w:val="0"/>
          <w:sz w:val="20"/>
          <w:szCs w:val="20"/>
        </w:rPr>
      </w:pPr>
    </w:p>
    <w:p w:rsidR="00741DA1" w:rsidRDefault="00087ECF" w:rsidP="001C35B6">
      <w:pPr>
        <w:contextualSpacing/>
        <w:mirrorIndents/>
        <w:jc w:val="both"/>
        <w:rPr>
          <w:rFonts w:cs="Times New Roman"/>
          <w:sz w:val="20"/>
          <w:szCs w:val="20"/>
        </w:rPr>
      </w:pPr>
      <w:r w:rsidRPr="001C35B6">
        <w:rPr>
          <w:rFonts w:cs="Times New Roman"/>
          <w:color w:val="FF0000"/>
          <w:sz w:val="20"/>
          <w:szCs w:val="20"/>
          <w:vertAlign w:val="superscript"/>
        </w:rPr>
        <w:t>#</w:t>
      </w:r>
      <w:r w:rsidRPr="00360C52">
        <w:rPr>
          <w:rFonts w:cs="Times New Roman"/>
          <w:b/>
          <w:sz w:val="20"/>
          <w:szCs w:val="20"/>
        </w:rPr>
        <w:t>Corresponding author:</w:t>
      </w:r>
      <w:r w:rsidR="00711460">
        <w:rPr>
          <w:rFonts w:cs="Times New Roman"/>
          <w:sz w:val="20"/>
          <w:szCs w:val="20"/>
        </w:rPr>
        <w:t xml:space="preserve"> </w:t>
      </w:r>
      <w:proofErr w:type="spellStart"/>
      <w:r w:rsidR="00711460">
        <w:rPr>
          <w:rFonts w:cs="Times New Roman"/>
          <w:sz w:val="20"/>
          <w:szCs w:val="20"/>
        </w:rPr>
        <w:t>Mulubrhan</w:t>
      </w:r>
      <w:proofErr w:type="spellEnd"/>
      <w:r w:rsidR="00711460">
        <w:rPr>
          <w:rFonts w:cs="Times New Roman"/>
          <w:sz w:val="20"/>
          <w:szCs w:val="20"/>
        </w:rPr>
        <w:t xml:space="preserve"> F. </w:t>
      </w:r>
      <w:proofErr w:type="spellStart"/>
      <w:r w:rsidR="00711460">
        <w:rPr>
          <w:rFonts w:cs="Times New Roman"/>
          <w:sz w:val="20"/>
          <w:szCs w:val="20"/>
        </w:rPr>
        <w:t>Mogos</w:t>
      </w:r>
      <w:proofErr w:type="spellEnd"/>
      <w:r w:rsidR="00711460">
        <w:rPr>
          <w:rFonts w:cs="Times New Roman"/>
          <w:sz w:val="20"/>
          <w:szCs w:val="20"/>
        </w:rPr>
        <w:t xml:space="preserve">, </w:t>
      </w:r>
      <w:r w:rsidR="000A78E4">
        <w:rPr>
          <w:rFonts w:cs="Times New Roman"/>
          <w:sz w:val="20"/>
          <w:szCs w:val="20"/>
        </w:rPr>
        <w:t>Assistant Professor,</w:t>
      </w:r>
      <w:r w:rsidR="00074C8A" w:rsidRPr="001C35B6">
        <w:rPr>
          <w:rFonts w:cs="Times New Roman"/>
          <w:sz w:val="20"/>
          <w:szCs w:val="20"/>
        </w:rPr>
        <w:t xml:space="preserve"> School of Nursing, </w:t>
      </w:r>
      <w:r w:rsidR="004E6669" w:rsidRPr="001C35B6">
        <w:rPr>
          <w:rFonts w:cs="Times New Roman"/>
          <w:sz w:val="20"/>
          <w:szCs w:val="20"/>
        </w:rPr>
        <w:t xml:space="preserve">Vanderbilt University, </w:t>
      </w:r>
      <w:r w:rsidR="00074C8A" w:rsidRPr="001C35B6">
        <w:rPr>
          <w:rFonts w:cs="Times New Roman"/>
          <w:sz w:val="20"/>
          <w:szCs w:val="20"/>
        </w:rPr>
        <w:t xml:space="preserve">Family Care Community, </w:t>
      </w:r>
      <w:r w:rsidR="001E6EDC" w:rsidRPr="001E6EDC">
        <w:rPr>
          <w:rFonts w:cs="Times New Roman"/>
          <w:sz w:val="20"/>
          <w:szCs w:val="20"/>
        </w:rPr>
        <w:t>21</w:t>
      </w:r>
      <w:r w:rsidR="001E6EDC" w:rsidRPr="00EA6264">
        <w:rPr>
          <w:rFonts w:cs="Times New Roman"/>
          <w:color w:val="FF0000"/>
          <w:sz w:val="20"/>
          <w:szCs w:val="20"/>
          <w:vertAlign w:val="superscript"/>
        </w:rPr>
        <w:t>st</w:t>
      </w:r>
      <w:r w:rsidR="001E6EDC" w:rsidRPr="001E6EDC">
        <w:rPr>
          <w:rFonts w:cs="Times New Roman"/>
          <w:sz w:val="20"/>
          <w:szCs w:val="20"/>
        </w:rPr>
        <w:t xml:space="preserve"> South Ave, Nashville, </w:t>
      </w:r>
      <w:r w:rsidR="00623F99" w:rsidRPr="00623F99">
        <w:rPr>
          <w:rFonts w:cs="Times New Roman"/>
          <w:sz w:val="20"/>
          <w:szCs w:val="20"/>
        </w:rPr>
        <w:t xml:space="preserve">Tennessee </w:t>
      </w:r>
      <w:r w:rsidR="001E6EDC" w:rsidRPr="001E6EDC">
        <w:rPr>
          <w:rFonts w:cs="Times New Roman"/>
          <w:sz w:val="20"/>
          <w:szCs w:val="20"/>
        </w:rPr>
        <w:t>37240</w:t>
      </w:r>
      <w:r w:rsidR="00AB2FA6">
        <w:rPr>
          <w:rFonts w:cs="Times New Roman"/>
          <w:sz w:val="20"/>
          <w:szCs w:val="20"/>
        </w:rPr>
        <w:t>, USA</w:t>
      </w:r>
    </w:p>
    <w:p w:rsidR="00AF5B33" w:rsidRPr="001C35B6" w:rsidRDefault="00AF5B33" w:rsidP="001C35B6">
      <w:pPr>
        <w:contextualSpacing/>
        <w:mirrorIndents/>
        <w:jc w:val="both"/>
        <w:rPr>
          <w:rFonts w:cs="Times New Roman"/>
          <w:sz w:val="20"/>
          <w:szCs w:val="20"/>
        </w:rPr>
      </w:pPr>
    </w:p>
    <w:p w:rsidR="00A00AC6" w:rsidRDefault="00087ECF" w:rsidP="001C35B6">
      <w:pPr>
        <w:contextualSpacing/>
        <w:mirrorIndents/>
        <w:jc w:val="both"/>
        <w:rPr>
          <w:rFonts w:cs="Times New Roman"/>
          <w:sz w:val="20"/>
          <w:szCs w:val="20"/>
        </w:rPr>
      </w:pPr>
      <w:r w:rsidRPr="00FC1C7F">
        <w:rPr>
          <w:rFonts w:cs="Times New Roman"/>
          <w:b/>
          <w:sz w:val="20"/>
          <w:szCs w:val="20"/>
        </w:rPr>
        <w:t>How to cite this article:</w:t>
      </w:r>
      <w:r w:rsidRPr="001C35B6">
        <w:rPr>
          <w:rFonts w:cs="Times New Roman"/>
          <w:sz w:val="20"/>
          <w:szCs w:val="20"/>
        </w:rPr>
        <w:t xml:space="preserve"> </w:t>
      </w:r>
      <w:proofErr w:type="spellStart"/>
      <w:r w:rsidR="00CE2366">
        <w:rPr>
          <w:rFonts w:cs="Times New Roman"/>
          <w:sz w:val="20"/>
          <w:szCs w:val="20"/>
        </w:rPr>
        <w:t>Mogos</w:t>
      </w:r>
      <w:proofErr w:type="spellEnd"/>
      <w:r w:rsidR="00CE2366">
        <w:rPr>
          <w:rFonts w:cs="Times New Roman"/>
          <w:sz w:val="20"/>
          <w:szCs w:val="20"/>
        </w:rPr>
        <w:t xml:space="preserve"> MF, </w:t>
      </w:r>
      <w:r w:rsidR="00954A1A" w:rsidRPr="001C35B6">
        <w:rPr>
          <w:rFonts w:cs="Times New Roman"/>
          <w:sz w:val="20"/>
          <w:szCs w:val="20"/>
        </w:rPr>
        <w:t>et al.</w:t>
      </w:r>
      <w:r w:rsidRPr="001C35B6">
        <w:rPr>
          <w:rFonts w:cs="Times New Roman"/>
          <w:sz w:val="20"/>
          <w:szCs w:val="20"/>
        </w:rPr>
        <w:t xml:space="preserve"> (2024) </w:t>
      </w:r>
      <w:r w:rsidR="00C30F77" w:rsidRPr="001C35B6">
        <w:rPr>
          <w:rFonts w:cs="Times New Roman"/>
          <w:sz w:val="20"/>
          <w:szCs w:val="20"/>
        </w:rPr>
        <w:t>Application of 24-Hour Ambulatory Blood Pressure Monitoring to Measure the Effect of COVID-19 Infection on Cardiovascular Health: A Pilot Study</w:t>
      </w:r>
      <w:r w:rsidRPr="001C35B6">
        <w:rPr>
          <w:rFonts w:cs="Times New Roman"/>
          <w:sz w:val="20"/>
          <w:szCs w:val="20"/>
        </w:rPr>
        <w:t xml:space="preserve">. </w:t>
      </w:r>
      <w:proofErr w:type="spellStart"/>
      <w:r w:rsidRPr="001C35B6">
        <w:rPr>
          <w:rFonts w:cs="Times New Roman"/>
          <w:iCs/>
          <w:sz w:val="20"/>
          <w:szCs w:val="20"/>
        </w:rPr>
        <w:t>Int</w:t>
      </w:r>
      <w:proofErr w:type="spellEnd"/>
      <w:r w:rsidRPr="001C35B6">
        <w:rPr>
          <w:rFonts w:cs="Times New Roman"/>
          <w:iCs/>
          <w:sz w:val="20"/>
          <w:szCs w:val="20"/>
        </w:rPr>
        <w:t xml:space="preserve"> J </w:t>
      </w:r>
      <w:proofErr w:type="spellStart"/>
      <w:r w:rsidRPr="001C35B6">
        <w:rPr>
          <w:rFonts w:cs="Times New Roman"/>
          <w:iCs/>
          <w:sz w:val="20"/>
          <w:szCs w:val="20"/>
        </w:rPr>
        <w:t>Nurs</w:t>
      </w:r>
      <w:proofErr w:type="spellEnd"/>
      <w:r w:rsidRPr="001C35B6">
        <w:rPr>
          <w:rFonts w:cs="Times New Roman"/>
          <w:iCs/>
          <w:sz w:val="20"/>
          <w:szCs w:val="20"/>
        </w:rPr>
        <w:t xml:space="preserve"> &amp; </w:t>
      </w:r>
      <w:proofErr w:type="spellStart"/>
      <w:r w:rsidRPr="001C35B6">
        <w:rPr>
          <w:rFonts w:cs="Times New Roman"/>
          <w:iCs/>
          <w:sz w:val="20"/>
          <w:szCs w:val="20"/>
        </w:rPr>
        <w:t>Healt</w:t>
      </w:r>
      <w:proofErr w:type="spellEnd"/>
      <w:r w:rsidRPr="001C35B6">
        <w:rPr>
          <w:rFonts w:cs="Times New Roman"/>
          <w:iCs/>
          <w:sz w:val="20"/>
          <w:szCs w:val="20"/>
        </w:rPr>
        <w:t xml:space="preserve"> Car </w:t>
      </w:r>
      <w:proofErr w:type="spellStart"/>
      <w:r w:rsidRPr="001C35B6">
        <w:rPr>
          <w:rFonts w:cs="Times New Roman"/>
          <w:iCs/>
          <w:sz w:val="20"/>
          <w:szCs w:val="20"/>
        </w:rPr>
        <w:t>Scie</w:t>
      </w:r>
      <w:proofErr w:type="spellEnd"/>
      <w:r w:rsidR="00AA5DC1">
        <w:rPr>
          <w:rFonts w:cs="Times New Roman"/>
          <w:sz w:val="20"/>
          <w:szCs w:val="20"/>
        </w:rPr>
        <w:t xml:space="preserve"> 04(12</w:t>
      </w:r>
      <w:r w:rsidRPr="001C35B6">
        <w:rPr>
          <w:rFonts w:cs="Times New Roman"/>
          <w:sz w:val="20"/>
          <w:szCs w:val="20"/>
        </w:rPr>
        <w:t>): 2024-3</w:t>
      </w:r>
      <w:r w:rsidR="008F0F3F" w:rsidRPr="001C35B6">
        <w:rPr>
          <w:rFonts w:cs="Times New Roman"/>
          <w:sz w:val="20"/>
          <w:szCs w:val="20"/>
        </w:rPr>
        <w:t>90</w:t>
      </w:r>
      <w:r w:rsidRPr="001C35B6">
        <w:rPr>
          <w:rFonts w:cs="Times New Roman"/>
          <w:sz w:val="20"/>
          <w:szCs w:val="20"/>
        </w:rPr>
        <w:t>.</w:t>
      </w:r>
    </w:p>
    <w:p w:rsidR="00AC497B" w:rsidRDefault="00AC497B" w:rsidP="001C35B6">
      <w:pPr>
        <w:contextualSpacing/>
        <w:mirrorIndents/>
        <w:jc w:val="both"/>
        <w:rPr>
          <w:rFonts w:cs="Times New Roman"/>
          <w:sz w:val="20"/>
          <w:szCs w:val="20"/>
        </w:rPr>
      </w:pPr>
    </w:p>
    <w:p w:rsidR="00AC497B" w:rsidRDefault="00AC497B" w:rsidP="00AC497B">
      <w:pPr>
        <w:contextualSpacing/>
        <w:mirrorIndents/>
        <w:jc w:val="both"/>
        <w:rPr>
          <w:rFonts w:cs="Times New Roman"/>
          <w:sz w:val="20"/>
          <w:szCs w:val="20"/>
        </w:rPr>
      </w:pPr>
      <w:r w:rsidRPr="00D32082">
        <w:rPr>
          <w:rFonts w:cs="Times New Roman"/>
          <w:b/>
          <w:sz w:val="20"/>
          <w:szCs w:val="20"/>
        </w:rPr>
        <w:t>Submission Date:</w:t>
      </w:r>
      <w:r w:rsidRPr="00D32082">
        <w:rPr>
          <w:rFonts w:cs="Times New Roman"/>
          <w:sz w:val="20"/>
          <w:szCs w:val="20"/>
        </w:rPr>
        <w:t xml:space="preserve"> </w:t>
      </w:r>
      <w:r w:rsidR="009C2A5F">
        <w:rPr>
          <w:rFonts w:cs="Times New Roman"/>
          <w:sz w:val="20"/>
          <w:szCs w:val="20"/>
        </w:rPr>
        <w:t>24 October</w:t>
      </w:r>
      <w:r w:rsidRPr="00D32082">
        <w:rPr>
          <w:rFonts w:cs="Times New Roman"/>
          <w:sz w:val="20"/>
          <w:szCs w:val="20"/>
        </w:rPr>
        <w:t xml:space="preserve">, 2024; </w:t>
      </w:r>
      <w:r w:rsidRPr="00D32082">
        <w:rPr>
          <w:rFonts w:cs="Times New Roman"/>
          <w:b/>
          <w:sz w:val="20"/>
          <w:szCs w:val="20"/>
        </w:rPr>
        <w:t>Accepted Date:</w:t>
      </w:r>
      <w:r w:rsidRPr="00D32082">
        <w:rPr>
          <w:rFonts w:cs="Times New Roman"/>
          <w:sz w:val="20"/>
          <w:szCs w:val="20"/>
        </w:rPr>
        <w:t xml:space="preserve"> </w:t>
      </w:r>
      <w:r>
        <w:rPr>
          <w:rFonts w:cs="Times New Roman"/>
          <w:sz w:val="20"/>
          <w:szCs w:val="20"/>
        </w:rPr>
        <w:t>1</w:t>
      </w:r>
      <w:r w:rsidR="00230D74">
        <w:rPr>
          <w:rFonts w:cs="Times New Roman"/>
          <w:sz w:val="20"/>
          <w:szCs w:val="20"/>
        </w:rPr>
        <w:t>8</w:t>
      </w:r>
      <w:r w:rsidRPr="00D32082">
        <w:rPr>
          <w:rFonts w:cs="Times New Roman"/>
          <w:sz w:val="20"/>
          <w:szCs w:val="20"/>
        </w:rPr>
        <w:t xml:space="preserve"> </w:t>
      </w:r>
      <w:r>
        <w:rPr>
          <w:rFonts w:cs="Times New Roman"/>
          <w:sz w:val="20"/>
          <w:szCs w:val="20"/>
        </w:rPr>
        <w:t>December</w:t>
      </w:r>
      <w:r w:rsidRPr="00D32082">
        <w:rPr>
          <w:rFonts w:cs="Times New Roman"/>
          <w:sz w:val="20"/>
          <w:szCs w:val="20"/>
        </w:rPr>
        <w:t xml:space="preserve">, 2024; </w:t>
      </w:r>
      <w:r w:rsidRPr="00D32082">
        <w:rPr>
          <w:rFonts w:cs="Times New Roman"/>
          <w:b/>
          <w:sz w:val="20"/>
          <w:szCs w:val="20"/>
        </w:rPr>
        <w:t>Published Online:</w:t>
      </w:r>
      <w:r w:rsidRPr="00D32082">
        <w:rPr>
          <w:rFonts w:cs="Times New Roman"/>
          <w:sz w:val="20"/>
          <w:szCs w:val="20"/>
        </w:rPr>
        <w:t xml:space="preserve"> </w:t>
      </w:r>
      <w:r w:rsidR="00E35C64">
        <w:rPr>
          <w:rFonts w:cs="Times New Roman"/>
          <w:sz w:val="20"/>
          <w:szCs w:val="20"/>
        </w:rPr>
        <w:t>31 January, 2025</w:t>
      </w:r>
    </w:p>
    <w:p w:rsidR="00A00AC6" w:rsidRPr="001C35B6" w:rsidRDefault="00A00AC6" w:rsidP="001C35B6">
      <w:pPr>
        <w:contextualSpacing/>
        <w:mirrorIndents/>
        <w:jc w:val="both"/>
        <w:rPr>
          <w:rFonts w:cs="Times New Roman"/>
          <w:sz w:val="20"/>
          <w:szCs w:val="20"/>
        </w:rPr>
      </w:pPr>
    </w:p>
    <w:p w:rsidR="00A00AC6" w:rsidRPr="00FC1C7F" w:rsidRDefault="00A00AC6" w:rsidP="001C35B6">
      <w:pPr>
        <w:contextualSpacing/>
        <w:mirrorIndents/>
        <w:jc w:val="both"/>
        <w:rPr>
          <w:rFonts w:cs="Times New Roman"/>
          <w:b/>
          <w:sz w:val="20"/>
          <w:szCs w:val="20"/>
        </w:rPr>
      </w:pPr>
      <w:r w:rsidRPr="00745B57">
        <w:rPr>
          <w:rFonts w:cs="Times New Roman"/>
          <w:b/>
          <w:sz w:val="22"/>
          <w:szCs w:val="20"/>
        </w:rPr>
        <w:t>Abstract</w:t>
      </w:r>
    </w:p>
    <w:p w:rsidR="002167A5" w:rsidRPr="001C35B6" w:rsidRDefault="002167A5" w:rsidP="001C35B6">
      <w:pPr>
        <w:contextualSpacing/>
        <w:mirrorIndents/>
        <w:jc w:val="both"/>
        <w:rPr>
          <w:rFonts w:cs="Times New Roman"/>
          <w:sz w:val="20"/>
          <w:szCs w:val="20"/>
        </w:rPr>
      </w:pPr>
    </w:p>
    <w:p w:rsidR="00A00AC6" w:rsidRPr="001C35B6" w:rsidRDefault="00A00AC6" w:rsidP="001C35B6">
      <w:pPr>
        <w:contextualSpacing/>
        <w:mirrorIndents/>
        <w:jc w:val="both"/>
        <w:rPr>
          <w:rFonts w:cs="Times New Roman"/>
          <w:sz w:val="20"/>
          <w:szCs w:val="20"/>
        </w:rPr>
      </w:pPr>
      <w:r w:rsidRPr="005F2374">
        <w:rPr>
          <w:rFonts w:cs="Times New Roman"/>
          <w:b/>
          <w:sz w:val="20"/>
          <w:szCs w:val="20"/>
        </w:rPr>
        <w:t>Background:</w:t>
      </w:r>
      <w:r w:rsidRPr="001C35B6">
        <w:rPr>
          <w:rFonts w:cs="Times New Roman"/>
          <w:sz w:val="20"/>
          <w:szCs w:val="20"/>
        </w:rPr>
        <w:t xml:space="preserve"> Up to 30% of patients hospitalized with Coronavirus Disease 2019 (COVID-19) have cardiovascular complications. Identifying early vascular changes that precede overt development of </w:t>
      </w:r>
      <w:r w:rsidR="002A4224" w:rsidRPr="001C35B6">
        <w:rPr>
          <w:rFonts w:cs="Times New Roman"/>
          <w:sz w:val="20"/>
          <w:szCs w:val="20"/>
        </w:rPr>
        <w:t xml:space="preserve">cardiovascular disease </w:t>
      </w:r>
      <w:r w:rsidRPr="001C35B6">
        <w:rPr>
          <w:rFonts w:cs="Times New Roman"/>
          <w:sz w:val="20"/>
          <w:szCs w:val="20"/>
        </w:rPr>
        <w:t xml:space="preserve">(CVD) is crucial for preventing and treating CVD. Therefore, we examined 24-hour </w:t>
      </w:r>
      <w:r w:rsidR="002A4224" w:rsidRPr="001C35B6">
        <w:rPr>
          <w:rFonts w:cs="Times New Roman"/>
          <w:sz w:val="20"/>
          <w:szCs w:val="20"/>
        </w:rPr>
        <w:t xml:space="preserve">ambulatory blood pressure </w:t>
      </w:r>
      <w:r w:rsidRPr="001C35B6">
        <w:rPr>
          <w:rFonts w:cs="Times New Roman"/>
          <w:sz w:val="20"/>
          <w:szCs w:val="20"/>
        </w:rPr>
        <w:t>(ABP) parameters that could serve as early markers of vascular change in COVID-19 survivors.</w:t>
      </w:r>
    </w:p>
    <w:p w:rsidR="00A00AC6" w:rsidRPr="001C35B6" w:rsidRDefault="00A00AC6" w:rsidP="001C35B6">
      <w:pPr>
        <w:contextualSpacing/>
        <w:mirrorIndents/>
        <w:jc w:val="both"/>
        <w:rPr>
          <w:rFonts w:cs="Times New Roman"/>
          <w:sz w:val="20"/>
          <w:szCs w:val="20"/>
        </w:rPr>
      </w:pPr>
      <w:r w:rsidRPr="005F2374">
        <w:rPr>
          <w:rFonts w:cs="Times New Roman"/>
          <w:b/>
          <w:sz w:val="20"/>
          <w:szCs w:val="20"/>
        </w:rPr>
        <w:t>Methods:</w:t>
      </w:r>
      <w:r w:rsidRPr="001C35B6">
        <w:rPr>
          <w:rFonts w:cs="Times New Roman"/>
          <w:sz w:val="20"/>
          <w:szCs w:val="20"/>
        </w:rPr>
        <w:t xml:space="preserve"> We recruited t</w:t>
      </w:r>
      <w:r w:rsidR="00E311F0">
        <w:rPr>
          <w:rFonts w:cs="Times New Roman"/>
          <w:sz w:val="20"/>
          <w:szCs w:val="20"/>
        </w:rPr>
        <w:t>hree categories of adults (18-</w:t>
      </w:r>
      <w:r w:rsidRPr="001C35B6">
        <w:rPr>
          <w:rFonts w:cs="Times New Roman"/>
          <w:sz w:val="20"/>
          <w:szCs w:val="20"/>
        </w:rPr>
        <w:t>6</w:t>
      </w:r>
      <w:r w:rsidR="006737EA" w:rsidRPr="001C35B6">
        <w:rPr>
          <w:rFonts w:cs="Times New Roman"/>
          <w:sz w:val="20"/>
          <w:szCs w:val="20"/>
        </w:rPr>
        <w:t>5 years of age) who had either:</w:t>
      </w:r>
      <w:r w:rsidRPr="001C35B6">
        <w:rPr>
          <w:rFonts w:cs="Times New Roman"/>
          <w:sz w:val="20"/>
          <w:szCs w:val="20"/>
        </w:rPr>
        <w:t xml:space="preserve"> (1) COVID-19 with hospitalization; (2) COVID-19 with no hospitalization, or (3) no history of COVID-19. Using </w:t>
      </w:r>
      <w:r w:rsidRPr="001C35B6">
        <w:rPr>
          <w:rFonts w:cs="Times New Roman"/>
          <w:sz w:val="20"/>
          <w:szCs w:val="20"/>
          <w:shd w:val="clear" w:color="auto" w:fill="FFFFFF"/>
        </w:rPr>
        <w:t xml:space="preserve">a validated </w:t>
      </w:r>
      <w:proofErr w:type="spellStart"/>
      <w:r w:rsidRPr="001C35B6">
        <w:rPr>
          <w:rFonts w:cs="Times New Roman"/>
          <w:sz w:val="20"/>
          <w:szCs w:val="20"/>
          <w:shd w:val="clear" w:color="auto" w:fill="FFFFFF"/>
        </w:rPr>
        <w:t>oscillometric</w:t>
      </w:r>
      <w:proofErr w:type="spellEnd"/>
      <w:r w:rsidRPr="001C35B6">
        <w:rPr>
          <w:rFonts w:cs="Times New Roman"/>
          <w:sz w:val="20"/>
          <w:szCs w:val="20"/>
          <w:shd w:val="clear" w:color="auto" w:fill="FFFFFF"/>
        </w:rPr>
        <w:t xml:space="preserve"> </w:t>
      </w:r>
      <w:r w:rsidR="002A4224">
        <w:rPr>
          <w:rFonts w:cs="Times New Roman"/>
          <w:sz w:val="20"/>
          <w:szCs w:val="20"/>
          <w:shd w:val="clear" w:color="auto" w:fill="FFFFFF"/>
        </w:rPr>
        <w:t>A</w:t>
      </w:r>
      <w:r w:rsidRPr="001C35B6">
        <w:rPr>
          <w:rFonts w:cs="Times New Roman"/>
          <w:sz w:val="20"/>
          <w:szCs w:val="20"/>
          <w:shd w:val="clear" w:color="auto" w:fill="FFFFFF"/>
        </w:rPr>
        <w:t>BP monitor (Mobil-O-Graph</w:t>
      </w:r>
      <w:r w:rsidRPr="001C35B6">
        <w:rPr>
          <w:rFonts w:cs="Times New Roman"/>
          <w:sz w:val="20"/>
          <w:szCs w:val="20"/>
        </w:rPr>
        <w:t xml:space="preserve">), we measured </w:t>
      </w:r>
      <w:r w:rsidRPr="001C35B6">
        <w:rPr>
          <w:rFonts w:cs="Times New Roman"/>
          <w:sz w:val="20"/>
          <w:szCs w:val="20"/>
          <w:shd w:val="clear" w:color="auto" w:fill="FFFFFF"/>
        </w:rPr>
        <w:t xml:space="preserve">24-hour ABP profiles including peripheral and central BP, </w:t>
      </w:r>
      <w:r w:rsidR="002A4224" w:rsidRPr="001C35B6">
        <w:rPr>
          <w:rFonts w:cs="Times New Roman"/>
          <w:sz w:val="20"/>
          <w:szCs w:val="20"/>
          <w:shd w:val="clear" w:color="auto" w:fill="FFFFFF"/>
        </w:rPr>
        <w:t xml:space="preserve">augmentation index </w:t>
      </w:r>
      <w:r w:rsidRPr="001C35B6">
        <w:rPr>
          <w:rFonts w:cs="Times New Roman"/>
          <w:sz w:val="20"/>
          <w:szCs w:val="20"/>
          <w:shd w:val="clear" w:color="auto" w:fill="FFFFFF"/>
        </w:rPr>
        <w:t xml:space="preserve">(AIx@75), and </w:t>
      </w:r>
      <w:r w:rsidR="002A4224" w:rsidRPr="001C35B6">
        <w:rPr>
          <w:rFonts w:cs="Times New Roman"/>
          <w:sz w:val="20"/>
          <w:szCs w:val="20"/>
          <w:shd w:val="clear" w:color="auto" w:fill="FFFFFF"/>
        </w:rPr>
        <w:t xml:space="preserve">pulse wave velocity </w:t>
      </w:r>
      <w:r w:rsidRPr="001C35B6">
        <w:rPr>
          <w:rFonts w:cs="Times New Roman"/>
          <w:sz w:val="20"/>
          <w:szCs w:val="20"/>
          <w:shd w:val="clear" w:color="auto" w:fill="FFFFFF"/>
        </w:rPr>
        <w:t>(PWV). We performed an analysis of variance and chi-square tests to compare means and standard errors of continuous and categorical variables, and created linear models to examine group difference in mean 24-hour ABP profiles across the three study groups, controlling for confounding factors.</w:t>
      </w:r>
    </w:p>
    <w:p w:rsidR="00A00AC6" w:rsidRPr="001C35B6" w:rsidRDefault="00A00AC6" w:rsidP="001C35B6">
      <w:pPr>
        <w:contextualSpacing/>
        <w:mirrorIndents/>
        <w:jc w:val="both"/>
        <w:rPr>
          <w:rFonts w:cs="Times New Roman"/>
          <w:sz w:val="20"/>
          <w:szCs w:val="20"/>
        </w:rPr>
      </w:pPr>
      <w:r w:rsidRPr="005F2374">
        <w:rPr>
          <w:rFonts w:cs="Times New Roman"/>
          <w:b/>
          <w:sz w:val="20"/>
          <w:szCs w:val="20"/>
        </w:rPr>
        <w:t>Results:</w:t>
      </w:r>
      <w:r w:rsidRPr="001C35B6">
        <w:rPr>
          <w:rFonts w:cs="Times New Roman"/>
          <w:sz w:val="20"/>
          <w:szCs w:val="20"/>
        </w:rPr>
        <w:t xml:space="preserve"> Thirty-three participants completed the study. On average, participants who had been hospitalized due to</w:t>
      </w:r>
      <w:r w:rsidR="009D600B">
        <w:rPr>
          <w:rFonts w:cs="Times New Roman"/>
          <w:sz w:val="20"/>
          <w:szCs w:val="20"/>
        </w:rPr>
        <w:t xml:space="preserve"> </w:t>
      </w:r>
      <w:r w:rsidRPr="001C35B6">
        <w:rPr>
          <w:rFonts w:cs="Times New Roman"/>
          <w:sz w:val="20"/>
          <w:szCs w:val="20"/>
        </w:rPr>
        <w:t>COVID-19 were older compared with</w:t>
      </w:r>
      <w:r w:rsidR="009D600B">
        <w:rPr>
          <w:rFonts w:cs="Times New Roman"/>
          <w:sz w:val="20"/>
          <w:szCs w:val="20"/>
        </w:rPr>
        <w:t xml:space="preserve"> </w:t>
      </w:r>
      <w:r w:rsidRPr="001C35B6">
        <w:rPr>
          <w:rFonts w:cs="Times New Roman"/>
          <w:sz w:val="20"/>
          <w:szCs w:val="20"/>
        </w:rPr>
        <w:t>those with COVID-19 but not hospitalized and those who did not contract COVID-19. After adjusting for potential confounders, participants with COVID-19 who were hospitalized had higher AIx@75.</w:t>
      </w:r>
    </w:p>
    <w:p w:rsidR="00A00AC6" w:rsidRPr="001C35B6" w:rsidRDefault="00A00AC6" w:rsidP="001C35B6">
      <w:pPr>
        <w:contextualSpacing/>
        <w:mirrorIndents/>
        <w:jc w:val="both"/>
        <w:rPr>
          <w:rFonts w:cs="Times New Roman"/>
          <w:sz w:val="20"/>
          <w:szCs w:val="20"/>
        </w:rPr>
      </w:pPr>
      <w:r w:rsidRPr="005F2374">
        <w:rPr>
          <w:rFonts w:cs="Times New Roman"/>
          <w:b/>
          <w:sz w:val="20"/>
          <w:szCs w:val="20"/>
        </w:rPr>
        <w:t>Conclusion:</w:t>
      </w:r>
      <w:r w:rsidRPr="001C35B6">
        <w:rPr>
          <w:rFonts w:cs="Times New Roman"/>
          <w:sz w:val="20"/>
          <w:szCs w:val="20"/>
        </w:rPr>
        <w:t xml:space="preserve"> Our finding suggests that 24-hour ABP monitoring profiles, especially AIx@75, may provide early information regarding cardiovascular complications in patients hospitalized with COVID-19. A large-scale study is warranted to confirm the findings of our study.</w:t>
      </w:r>
    </w:p>
    <w:p w:rsidR="00A00AC6" w:rsidRPr="001C35B6" w:rsidRDefault="00A00AC6" w:rsidP="001C35B6">
      <w:pPr>
        <w:contextualSpacing/>
        <w:mirrorIndents/>
        <w:jc w:val="both"/>
        <w:rPr>
          <w:rFonts w:cs="Times New Roman"/>
          <w:sz w:val="20"/>
          <w:szCs w:val="20"/>
        </w:rPr>
      </w:pPr>
    </w:p>
    <w:p w:rsidR="00A00AC6" w:rsidRDefault="001C35B6" w:rsidP="001C35B6">
      <w:pPr>
        <w:contextualSpacing/>
        <w:mirrorIndents/>
        <w:jc w:val="both"/>
        <w:rPr>
          <w:rFonts w:cs="Times New Roman"/>
          <w:sz w:val="20"/>
          <w:szCs w:val="20"/>
        </w:rPr>
      </w:pPr>
      <w:r w:rsidRPr="00240E1C">
        <w:rPr>
          <w:rFonts w:cs="Times New Roman"/>
          <w:b/>
          <w:sz w:val="22"/>
          <w:szCs w:val="20"/>
        </w:rPr>
        <w:t>Keywords</w:t>
      </w:r>
      <w:r w:rsidR="002167A5" w:rsidRPr="00240E1C">
        <w:rPr>
          <w:rFonts w:cs="Times New Roman"/>
          <w:b/>
          <w:sz w:val="22"/>
          <w:szCs w:val="20"/>
        </w:rPr>
        <w:t>:</w:t>
      </w:r>
      <w:r w:rsidR="002167A5" w:rsidRPr="001C35B6">
        <w:rPr>
          <w:rFonts w:cs="Times New Roman"/>
          <w:sz w:val="20"/>
          <w:szCs w:val="20"/>
        </w:rPr>
        <w:t xml:space="preserve"> </w:t>
      </w:r>
      <w:r w:rsidR="00A00AC6" w:rsidRPr="001C35B6">
        <w:rPr>
          <w:rFonts w:cs="Times New Roman"/>
          <w:sz w:val="20"/>
          <w:szCs w:val="20"/>
        </w:rPr>
        <w:t>24</w:t>
      </w:r>
      <w:r w:rsidR="006156E5">
        <w:rPr>
          <w:rFonts w:cs="Times New Roman"/>
          <w:sz w:val="20"/>
          <w:szCs w:val="20"/>
        </w:rPr>
        <w:t>-hour ambulatory blood pressure;</w:t>
      </w:r>
      <w:r w:rsidR="00A00AC6" w:rsidRPr="001C35B6">
        <w:rPr>
          <w:rFonts w:cs="Times New Roman"/>
          <w:sz w:val="20"/>
          <w:szCs w:val="20"/>
        </w:rPr>
        <w:t xml:space="preserve"> </w:t>
      </w:r>
      <w:r w:rsidR="005F755C">
        <w:rPr>
          <w:rFonts w:cs="Times New Roman"/>
          <w:sz w:val="20"/>
          <w:szCs w:val="20"/>
        </w:rPr>
        <w:t>Blood p</w:t>
      </w:r>
      <w:r w:rsidR="00E241CD">
        <w:rPr>
          <w:rFonts w:cs="Times New Roman"/>
          <w:sz w:val="20"/>
          <w:szCs w:val="20"/>
        </w:rPr>
        <w:t xml:space="preserve">ressure </w:t>
      </w:r>
      <w:r w:rsidR="005F755C">
        <w:rPr>
          <w:rFonts w:cs="Times New Roman"/>
          <w:sz w:val="20"/>
          <w:szCs w:val="20"/>
        </w:rPr>
        <w:t>v</w:t>
      </w:r>
      <w:r w:rsidR="00E241CD">
        <w:rPr>
          <w:rFonts w:cs="Times New Roman"/>
          <w:sz w:val="20"/>
          <w:szCs w:val="20"/>
        </w:rPr>
        <w:t xml:space="preserve">ariability; COVID-19; </w:t>
      </w:r>
      <w:r w:rsidR="00E241CD" w:rsidRPr="001C35B6">
        <w:rPr>
          <w:rFonts w:cs="Times New Roman"/>
          <w:sz w:val="20"/>
          <w:szCs w:val="20"/>
        </w:rPr>
        <w:t>Diastolic</w:t>
      </w:r>
      <w:r w:rsidR="00E241CD">
        <w:rPr>
          <w:rFonts w:cs="Times New Roman"/>
          <w:sz w:val="20"/>
          <w:szCs w:val="20"/>
        </w:rPr>
        <w:t>; Night dipping; Systolic</w:t>
      </w:r>
    </w:p>
    <w:p w:rsidR="001A41E1" w:rsidRDefault="001A41E1" w:rsidP="001C35B6">
      <w:pPr>
        <w:contextualSpacing/>
        <w:mirrorIndents/>
        <w:jc w:val="both"/>
        <w:rPr>
          <w:rFonts w:cs="Times New Roman"/>
          <w:sz w:val="20"/>
          <w:szCs w:val="20"/>
        </w:rPr>
      </w:pPr>
    </w:p>
    <w:p w:rsidR="001A41E1" w:rsidRPr="00E241CD" w:rsidRDefault="001A41E1" w:rsidP="001A41E1">
      <w:pPr>
        <w:contextualSpacing/>
        <w:mirrorIndents/>
        <w:jc w:val="both"/>
        <w:rPr>
          <w:rFonts w:cs="Times New Roman"/>
          <w:b/>
          <w:sz w:val="20"/>
          <w:szCs w:val="20"/>
        </w:rPr>
      </w:pPr>
      <w:r w:rsidRPr="0049358B">
        <w:rPr>
          <w:rFonts w:cs="Times New Roman"/>
          <w:b/>
          <w:sz w:val="22"/>
          <w:szCs w:val="20"/>
        </w:rPr>
        <w:t>Plain Language Summary</w:t>
      </w:r>
    </w:p>
    <w:p w:rsidR="001A41E1" w:rsidRPr="001C35B6" w:rsidRDefault="001A41E1" w:rsidP="001A41E1">
      <w:pPr>
        <w:contextualSpacing/>
        <w:mirrorIndents/>
        <w:jc w:val="both"/>
        <w:rPr>
          <w:rFonts w:cs="Times New Roman"/>
          <w:sz w:val="20"/>
          <w:szCs w:val="20"/>
        </w:rPr>
      </w:pPr>
    </w:p>
    <w:p w:rsidR="00AA0C9D" w:rsidRPr="0018714C" w:rsidRDefault="001A41E1" w:rsidP="0018714C">
      <w:pPr>
        <w:pStyle w:val="ListParagraph"/>
        <w:numPr>
          <w:ilvl w:val="0"/>
          <w:numId w:val="15"/>
        </w:numPr>
        <w:mirrorIndents/>
        <w:jc w:val="both"/>
        <w:rPr>
          <w:rFonts w:cs="Times New Roman"/>
          <w:sz w:val="20"/>
          <w:szCs w:val="20"/>
        </w:rPr>
      </w:pPr>
      <w:r w:rsidRPr="0018714C">
        <w:rPr>
          <w:rFonts w:cs="Times New Roman"/>
          <w:sz w:val="20"/>
          <w:szCs w:val="20"/>
        </w:rPr>
        <w:lastRenderedPageBreak/>
        <w:t>The study provided preliminary evidence for the potential role of augmentation index obtained from a non-invasive 24-hour ambulatory blood pressure device in identifying early vascular changes following COVID-19 infection related hospitalization.</w:t>
      </w:r>
    </w:p>
    <w:p w:rsidR="001A41E1" w:rsidRPr="0018714C" w:rsidRDefault="001A41E1" w:rsidP="0018714C">
      <w:pPr>
        <w:pStyle w:val="ListParagraph"/>
        <w:numPr>
          <w:ilvl w:val="0"/>
          <w:numId w:val="15"/>
        </w:numPr>
        <w:mirrorIndents/>
        <w:jc w:val="both"/>
        <w:rPr>
          <w:rFonts w:cs="Times New Roman"/>
          <w:sz w:val="20"/>
          <w:szCs w:val="20"/>
        </w:rPr>
      </w:pPr>
      <w:r w:rsidRPr="0018714C">
        <w:rPr>
          <w:rFonts w:cs="Times New Roman"/>
          <w:sz w:val="20"/>
          <w:szCs w:val="20"/>
        </w:rPr>
        <w:t>Patient with COVID-19-related hospitalization demonstrated different pattern of 24-hour ambulatory blood pressure than COVID-19 patients with no hospitalization and those with no COVID-19 infection.</w:t>
      </w:r>
    </w:p>
    <w:p w:rsidR="009F5651" w:rsidRPr="001C35B6" w:rsidRDefault="009F5651" w:rsidP="001C35B6">
      <w:pPr>
        <w:contextualSpacing/>
        <w:mirrorIndents/>
        <w:jc w:val="both"/>
        <w:rPr>
          <w:rFonts w:cs="Times New Roman"/>
          <w:sz w:val="20"/>
          <w:szCs w:val="20"/>
        </w:rPr>
      </w:pPr>
    </w:p>
    <w:p w:rsidR="00A00AC6" w:rsidRPr="006C2933" w:rsidRDefault="00A00AC6" w:rsidP="001C35B6">
      <w:pPr>
        <w:contextualSpacing/>
        <w:mirrorIndents/>
        <w:jc w:val="both"/>
        <w:rPr>
          <w:rFonts w:cs="Times New Roman"/>
          <w:b/>
          <w:sz w:val="20"/>
          <w:szCs w:val="20"/>
        </w:rPr>
      </w:pPr>
      <w:r w:rsidRPr="00240E1C">
        <w:rPr>
          <w:rFonts w:cs="Times New Roman"/>
          <w:b/>
          <w:sz w:val="22"/>
          <w:szCs w:val="20"/>
        </w:rPr>
        <w:t>Introduction</w:t>
      </w:r>
    </w:p>
    <w:p w:rsidR="009F5651" w:rsidRPr="001C35B6" w:rsidRDefault="009F5651" w:rsidP="001C35B6">
      <w:pPr>
        <w:contextualSpacing/>
        <w:mirrorIndents/>
        <w:jc w:val="both"/>
        <w:rPr>
          <w:rFonts w:cs="Times New Roman"/>
          <w:sz w:val="20"/>
          <w:szCs w:val="20"/>
        </w:rPr>
      </w:pPr>
      <w:bookmarkStart w:id="0" w:name="_Hlk155090767"/>
      <w:bookmarkStart w:id="1" w:name="_Hlk155090560"/>
    </w:p>
    <w:p w:rsidR="00A00AC6" w:rsidRPr="001C35B6" w:rsidRDefault="00A00AC6" w:rsidP="001C35B6">
      <w:pPr>
        <w:contextualSpacing/>
        <w:mirrorIndents/>
        <w:jc w:val="both"/>
        <w:rPr>
          <w:rFonts w:cs="Times New Roman"/>
          <w:sz w:val="20"/>
          <w:szCs w:val="20"/>
          <w:vertAlign w:val="superscript"/>
        </w:rPr>
      </w:pPr>
      <w:r w:rsidRPr="001C35B6">
        <w:rPr>
          <w:rFonts w:cs="Times New Roman"/>
          <w:sz w:val="20"/>
          <w:szCs w:val="20"/>
        </w:rPr>
        <w:t>Throughout the Coronavirus Disease 2019 (COVID-19) pandemic, our understanding</w:t>
      </w:r>
      <w:r w:rsidR="009D600B">
        <w:rPr>
          <w:rFonts w:cs="Times New Roman"/>
          <w:sz w:val="20"/>
          <w:szCs w:val="20"/>
        </w:rPr>
        <w:t xml:space="preserve"> </w:t>
      </w:r>
      <w:r w:rsidRPr="001C35B6">
        <w:rPr>
          <w:rFonts w:cs="Times New Roman"/>
          <w:sz w:val="20"/>
          <w:szCs w:val="20"/>
        </w:rPr>
        <w:t xml:space="preserve">of the SARS-CoV-2 virus long-term effects has progressively expanded. Although the virus affects multiple organ systems in the post-acute phase, </w:t>
      </w:r>
      <w:proofErr w:type="gramStart"/>
      <w:r w:rsidR="00C93A99">
        <w:rPr>
          <w:rFonts w:cs="Times New Roman"/>
          <w:sz w:val="20"/>
          <w:szCs w:val="20"/>
        </w:rPr>
        <w:t>it</w:t>
      </w:r>
      <w:r w:rsidR="00A96B45" w:rsidRPr="001C35B6">
        <w:rPr>
          <w:rFonts w:cs="Times New Roman"/>
          <w:sz w:val="20"/>
          <w:szCs w:val="20"/>
        </w:rPr>
        <w:t>s</w:t>
      </w:r>
      <w:proofErr w:type="gramEnd"/>
      <w:r w:rsidRPr="001C35B6">
        <w:rPr>
          <w:rFonts w:cs="Times New Roman"/>
          <w:sz w:val="20"/>
          <w:szCs w:val="20"/>
        </w:rPr>
        <w:t xml:space="preserve"> most notable effects are on the cardiovascular system, manifesting as an</w:t>
      </w:r>
      <w:r w:rsidR="009D600B">
        <w:rPr>
          <w:rFonts w:cs="Times New Roman"/>
          <w:sz w:val="20"/>
          <w:szCs w:val="20"/>
        </w:rPr>
        <w:t xml:space="preserve"> </w:t>
      </w:r>
      <w:r w:rsidRPr="001C35B6">
        <w:rPr>
          <w:rFonts w:cs="Times New Roman"/>
          <w:sz w:val="20"/>
          <w:szCs w:val="20"/>
        </w:rPr>
        <w:t xml:space="preserve">increased risk for </w:t>
      </w:r>
      <w:r w:rsidR="00400A8F" w:rsidRPr="001C35B6">
        <w:rPr>
          <w:rFonts w:cs="Times New Roman"/>
          <w:sz w:val="20"/>
          <w:szCs w:val="20"/>
        </w:rPr>
        <w:t>arrhythmias</w:t>
      </w:r>
      <w:r w:rsidRPr="001C35B6">
        <w:rPr>
          <w:rFonts w:cs="Times New Roman"/>
          <w:sz w:val="20"/>
          <w:szCs w:val="20"/>
        </w:rPr>
        <w:t>, myocarditis, cardiac injury, heart failure, and hypertension</w:t>
      </w:r>
      <w:r w:rsidR="00400A8F">
        <w:rPr>
          <w:rFonts w:cs="Times New Roman"/>
          <w:sz w:val="20"/>
          <w:szCs w:val="20"/>
        </w:rPr>
        <w:t xml:space="preserve"> </w:t>
      </w:r>
      <w:r w:rsidR="00400A8F" w:rsidRPr="00400A8F">
        <w:rPr>
          <w:rFonts w:cs="Times New Roman"/>
          <w:color w:val="FF0000"/>
          <w:sz w:val="20"/>
          <w:szCs w:val="20"/>
        </w:rPr>
        <w:t>[</w:t>
      </w:r>
      <w:r w:rsidR="00400A8F" w:rsidRPr="00400A8F">
        <w:rPr>
          <w:rFonts w:cs="Times New Roman"/>
          <w:noProof/>
          <w:color w:val="FF0000"/>
          <w:sz w:val="20"/>
          <w:szCs w:val="20"/>
        </w:rPr>
        <w:t>1-4]</w:t>
      </w:r>
      <w:r w:rsidR="00400A8F">
        <w:rPr>
          <w:rFonts w:cs="Times New Roman"/>
          <w:noProof/>
          <w:sz w:val="20"/>
          <w:szCs w:val="20"/>
        </w:rPr>
        <w:t xml:space="preserve">. </w:t>
      </w:r>
      <w:r w:rsidRPr="001C35B6">
        <w:rPr>
          <w:rFonts w:cs="Times New Roman"/>
          <w:sz w:val="20"/>
          <w:szCs w:val="20"/>
        </w:rPr>
        <w:t xml:space="preserve">Evidence shows that SARS-CoV-2 increases the risk of </w:t>
      </w:r>
      <w:r w:rsidR="005641ED" w:rsidRPr="001C35B6">
        <w:rPr>
          <w:rFonts w:cs="Times New Roman"/>
          <w:sz w:val="20"/>
          <w:szCs w:val="20"/>
        </w:rPr>
        <w:t xml:space="preserve">cardiovascular disease </w:t>
      </w:r>
      <w:r w:rsidRPr="001C35B6">
        <w:rPr>
          <w:rFonts w:cs="Times New Roman"/>
          <w:sz w:val="20"/>
          <w:szCs w:val="20"/>
        </w:rPr>
        <w:t>(CVD) by infecting artery wall tissue leading to endothelial dysfunction, inflammation, thrombosis, and microvascular obstruction</w:t>
      </w:r>
      <w:r w:rsidR="001E6BB5">
        <w:rPr>
          <w:rFonts w:cs="Times New Roman"/>
          <w:sz w:val="20"/>
          <w:szCs w:val="20"/>
        </w:rPr>
        <w:t xml:space="preserve"> </w:t>
      </w:r>
      <w:r w:rsidR="001E6BB5" w:rsidRPr="001E6BB5">
        <w:rPr>
          <w:rFonts w:cs="Times New Roman"/>
          <w:color w:val="FF0000"/>
          <w:sz w:val="20"/>
          <w:szCs w:val="20"/>
        </w:rPr>
        <w:t>[5]</w:t>
      </w:r>
      <w:r w:rsidRPr="001C35B6">
        <w:rPr>
          <w:rFonts w:cs="Times New Roman"/>
          <w:sz w:val="20"/>
          <w:szCs w:val="20"/>
        </w:rPr>
        <w:t>. Given the notable cardiovascular effects of COVID-19, the need for continuous cardiovascular monitoring techniques becomes increasingly evident.</w:t>
      </w:r>
      <w:r w:rsidR="009F5651" w:rsidRPr="001C35B6">
        <w:rPr>
          <w:rFonts w:cs="Times New Roman"/>
          <w:sz w:val="20"/>
          <w:szCs w:val="20"/>
        </w:rPr>
        <w:t xml:space="preserve"> </w:t>
      </w:r>
      <w:r w:rsidRPr="001C35B6">
        <w:rPr>
          <w:rFonts w:cs="Times New Roman"/>
          <w:sz w:val="20"/>
          <w:szCs w:val="20"/>
        </w:rPr>
        <w:t xml:space="preserve">Twenty-four-hour </w:t>
      </w:r>
      <w:r w:rsidR="009A192F" w:rsidRPr="001C35B6">
        <w:rPr>
          <w:rFonts w:cs="Times New Roman"/>
          <w:sz w:val="20"/>
          <w:szCs w:val="20"/>
        </w:rPr>
        <w:t xml:space="preserve">ambulatory blood pressure </w:t>
      </w:r>
      <w:r w:rsidRPr="001C35B6">
        <w:rPr>
          <w:rFonts w:cs="Times New Roman"/>
          <w:sz w:val="20"/>
          <w:szCs w:val="20"/>
        </w:rPr>
        <w:t>(ABP) monitoring is an advanced method that continuously records several blood pressure (BP) parameters such day/night systolic</w:t>
      </w:r>
      <w:r w:rsidR="00324ED5">
        <w:rPr>
          <w:rFonts w:cs="Times New Roman"/>
          <w:sz w:val="20"/>
          <w:szCs w:val="20"/>
        </w:rPr>
        <w:t xml:space="preserve"> BP (SBP)</w:t>
      </w:r>
      <w:r w:rsidRPr="001C35B6">
        <w:rPr>
          <w:rFonts w:cs="Times New Roman"/>
          <w:sz w:val="20"/>
          <w:szCs w:val="20"/>
        </w:rPr>
        <w:t xml:space="preserve"> and diastolic BP</w:t>
      </w:r>
      <w:r w:rsidR="007F07B9">
        <w:rPr>
          <w:rFonts w:cs="Times New Roman"/>
          <w:sz w:val="20"/>
          <w:szCs w:val="20"/>
        </w:rPr>
        <w:t xml:space="preserve"> </w:t>
      </w:r>
      <w:r w:rsidR="007F07B9" w:rsidRPr="007F07B9">
        <w:rPr>
          <w:rFonts w:cs="Times New Roman"/>
          <w:sz w:val="20"/>
          <w:szCs w:val="20"/>
        </w:rPr>
        <w:t>(DBP)</w:t>
      </w:r>
      <w:r w:rsidRPr="001C35B6">
        <w:rPr>
          <w:rFonts w:cs="Times New Roman"/>
          <w:sz w:val="20"/>
          <w:szCs w:val="20"/>
        </w:rPr>
        <w:t>, night</w:t>
      </w:r>
      <w:r w:rsidR="00B55037">
        <w:rPr>
          <w:rFonts w:cs="Times New Roman"/>
          <w:sz w:val="20"/>
          <w:szCs w:val="20"/>
        </w:rPr>
        <w:t>-</w:t>
      </w:r>
      <w:r w:rsidRPr="001C35B6">
        <w:rPr>
          <w:rFonts w:cs="Times New Roman"/>
          <w:sz w:val="20"/>
          <w:szCs w:val="20"/>
        </w:rPr>
        <w:t xml:space="preserve">time dipping, morning surge, </w:t>
      </w:r>
      <w:r w:rsidR="00AF6E3B" w:rsidRPr="001C35B6">
        <w:rPr>
          <w:rFonts w:cs="Times New Roman"/>
          <w:sz w:val="20"/>
          <w:szCs w:val="20"/>
        </w:rPr>
        <w:t xml:space="preserve">pulse wave velocity </w:t>
      </w:r>
      <w:r w:rsidRPr="001C35B6">
        <w:rPr>
          <w:rFonts w:cs="Times New Roman"/>
          <w:sz w:val="20"/>
          <w:szCs w:val="20"/>
        </w:rPr>
        <w:t>(PWV), and augmentation index at heart rate of 75 per minutes (AIx@75) over a 24-hour cycle. This technique is particularly crucial in the context of COVID-19, as it helps in the early detection and management of potential cardiovascular complications that are now known to be associated with COVID-19. Unlike standard clinic-based BP measurements, which only offer a snapshot in time, 24-hour ABP monitoring delivers a compr</w:t>
      </w:r>
      <w:r w:rsidR="00A27F8E">
        <w:rPr>
          <w:rFonts w:cs="Times New Roman"/>
          <w:sz w:val="20"/>
          <w:szCs w:val="20"/>
        </w:rPr>
        <w:t xml:space="preserve">ehensive profile of BP changes </w:t>
      </w:r>
      <w:r w:rsidRPr="001C35B6">
        <w:rPr>
          <w:rFonts w:cs="Times New Roman"/>
          <w:sz w:val="20"/>
          <w:szCs w:val="20"/>
        </w:rPr>
        <w:t>that are strongly predictive of incident CVD, future cardiovascular events, and mortality</w:t>
      </w:r>
      <w:r w:rsidR="001E6BB5">
        <w:rPr>
          <w:rFonts w:cs="Times New Roman"/>
          <w:sz w:val="20"/>
          <w:szCs w:val="20"/>
        </w:rPr>
        <w:t xml:space="preserve"> </w:t>
      </w:r>
      <w:r w:rsidR="001E6BB5" w:rsidRPr="001E6BB5">
        <w:rPr>
          <w:rFonts w:cs="Times New Roman"/>
          <w:color w:val="FF0000"/>
          <w:sz w:val="20"/>
          <w:szCs w:val="20"/>
        </w:rPr>
        <w:t>[6,7]</w:t>
      </w:r>
      <w:r w:rsidRPr="001C35B6">
        <w:rPr>
          <w:rFonts w:cs="Times New Roman"/>
          <w:sz w:val="20"/>
          <w:szCs w:val="20"/>
        </w:rPr>
        <w:t>.</w:t>
      </w:r>
      <w:r w:rsidRPr="001C35B6">
        <w:rPr>
          <w:rFonts w:cs="Times New Roman"/>
          <w:sz w:val="20"/>
          <w:szCs w:val="20"/>
          <w:vertAlign w:val="superscript"/>
        </w:rPr>
        <w:t xml:space="preserve"> </w:t>
      </w:r>
      <w:bookmarkEnd w:id="0"/>
    </w:p>
    <w:p w:rsidR="009F5651" w:rsidRPr="006D0C5E" w:rsidRDefault="009F5651" w:rsidP="001C35B6">
      <w:pPr>
        <w:contextualSpacing/>
        <w:mirrorIndents/>
        <w:jc w:val="both"/>
        <w:rPr>
          <w:rFonts w:cs="Times New Roman"/>
          <w:sz w:val="20"/>
          <w:szCs w:val="20"/>
        </w:rPr>
      </w:pPr>
    </w:p>
    <w:bookmarkEnd w:id="1"/>
    <w:p w:rsidR="004D27CD" w:rsidRDefault="00A00AC6" w:rsidP="001C35B6">
      <w:pPr>
        <w:contextualSpacing/>
        <w:mirrorIndents/>
        <w:jc w:val="both"/>
        <w:rPr>
          <w:rFonts w:cs="Times New Roman"/>
          <w:sz w:val="20"/>
          <w:szCs w:val="20"/>
        </w:rPr>
      </w:pPr>
      <w:r w:rsidRPr="001C35B6">
        <w:rPr>
          <w:rFonts w:cs="Times New Roman"/>
          <w:sz w:val="20"/>
          <w:szCs w:val="20"/>
        </w:rPr>
        <w:t>Previous</w:t>
      </w:r>
      <w:r w:rsidR="0018232F" w:rsidRPr="001C35B6">
        <w:rPr>
          <w:rFonts w:cs="Times New Roman"/>
          <w:sz w:val="20"/>
          <w:szCs w:val="20"/>
        </w:rPr>
        <w:t xml:space="preserve"> studies examining </w:t>
      </w:r>
      <w:r w:rsidRPr="001C35B6">
        <w:rPr>
          <w:rFonts w:cs="Times New Roman"/>
          <w:sz w:val="20"/>
          <w:szCs w:val="20"/>
        </w:rPr>
        <w:t>the associations of COVID-19 infection with 24-hour ABP have shown mixed results. Two studies</w:t>
      </w:r>
      <w:r w:rsidR="0013389B">
        <w:rPr>
          <w:rFonts w:cs="Times New Roman"/>
          <w:sz w:val="20"/>
          <w:szCs w:val="20"/>
        </w:rPr>
        <w:t xml:space="preserve"> </w:t>
      </w:r>
      <w:r w:rsidR="0013389B" w:rsidRPr="0013389B">
        <w:rPr>
          <w:rFonts w:cs="Times New Roman"/>
          <w:color w:val="FF0000"/>
          <w:sz w:val="20"/>
          <w:szCs w:val="20"/>
        </w:rPr>
        <w:t>[</w:t>
      </w:r>
      <w:r w:rsidRPr="0013389B">
        <w:rPr>
          <w:rFonts w:cs="Times New Roman"/>
          <w:noProof/>
          <w:color w:val="FF0000"/>
          <w:sz w:val="20"/>
          <w:szCs w:val="20"/>
        </w:rPr>
        <w:t>8,9</w:t>
      </w:r>
      <w:r w:rsidR="0013389B" w:rsidRPr="0013389B">
        <w:rPr>
          <w:rFonts w:cs="Times New Roman"/>
          <w:noProof/>
          <w:color w:val="FF0000"/>
          <w:sz w:val="20"/>
          <w:szCs w:val="20"/>
        </w:rPr>
        <w:t>]</w:t>
      </w:r>
      <w:r w:rsidRPr="0013389B">
        <w:rPr>
          <w:rFonts w:cs="Times New Roman"/>
          <w:color w:val="FF0000"/>
          <w:sz w:val="20"/>
          <w:szCs w:val="20"/>
        </w:rPr>
        <w:t xml:space="preserve"> </w:t>
      </w:r>
      <w:r w:rsidRPr="001C35B6">
        <w:rPr>
          <w:rFonts w:cs="Times New Roman"/>
          <w:sz w:val="20"/>
          <w:szCs w:val="20"/>
        </w:rPr>
        <w:t>showed no significant increases in 24-hour ABP parameters 4-8 months after COVID-19 infection.</w:t>
      </w:r>
      <w:r w:rsidRPr="001C35B6">
        <w:rPr>
          <w:rFonts w:cs="Times New Roman"/>
          <w:sz w:val="20"/>
          <w:szCs w:val="20"/>
          <w:vertAlign w:val="superscript"/>
        </w:rPr>
        <w:t xml:space="preserve"> </w:t>
      </w:r>
      <w:r w:rsidRPr="001C35B6">
        <w:rPr>
          <w:rFonts w:cs="Times New Roman"/>
          <w:sz w:val="20"/>
          <w:szCs w:val="20"/>
        </w:rPr>
        <w:t>However, other research</w:t>
      </w:r>
      <w:r w:rsidR="0013389B">
        <w:rPr>
          <w:rFonts w:cs="Times New Roman"/>
          <w:sz w:val="20"/>
          <w:szCs w:val="20"/>
        </w:rPr>
        <w:t xml:space="preserve"> </w:t>
      </w:r>
      <w:r w:rsidR="0013389B" w:rsidRPr="0013389B">
        <w:rPr>
          <w:rFonts w:cs="Times New Roman"/>
          <w:color w:val="FF0000"/>
          <w:sz w:val="20"/>
          <w:szCs w:val="20"/>
        </w:rPr>
        <w:t>[</w:t>
      </w:r>
      <w:r w:rsidRPr="0013389B">
        <w:rPr>
          <w:rFonts w:cs="Times New Roman"/>
          <w:noProof/>
          <w:color w:val="FF0000"/>
          <w:sz w:val="20"/>
          <w:szCs w:val="20"/>
        </w:rPr>
        <w:t>10,11</w:t>
      </w:r>
      <w:r w:rsidR="0013389B" w:rsidRPr="0013389B">
        <w:rPr>
          <w:rFonts w:cs="Times New Roman"/>
          <w:noProof/>
          <w:color w:val="FF0000"/>
          <w:sz w:val="20"/>
          <w:szCs w:val="20"/>
        </w:rPr>
        <w:t>]</w:t>
      </w:r>
      <w:r w:rsidRPr="001C35B6">
        <w:rPr>
          <w:rFonts w:cs="Times New Roman"/>
          <w:sz w:val="20"/>
          <w:szCs w:val="20"/>
        </w:rPr>
        <w:t xml:space="preserve"> focusing on</w:t>
      </w:r>
      <w:r w:rsidR="0018232F" w:rsidRPr="001C35B6">
        <w:rPr>
          <w:rFonts w:cs="Times New Roman"/>
          <w:sz w:val="20"/>
          <w:szCs w:val="20"/>
        </w:rPr>
        <w:t xml:space="preserve"> </w:t>
      </w:r>
      <w:r w:rsidRPr="001C35B6">
        <w:rPr>
          <w:rFonts w:cs="Times New Roman"/>
          <w:sz w:val="20"/>
          <w:szCs w:val="20"/>
        </w:rPr>
        <w:t>patients with history of COVID-19-related hospitalization reported elevated 24-hour ABP and office BP</w:t>
      </w:r>
      <w:r w:rsidR="0013389B">
        <w:rPr>
          <w:rFonts w:cs="Times New Roman"/>
          <w:sz w:val="20"/>
          <w:szCs w:val="20"/>
        </w:rPr>
        <w:t xml:space="preserve"> </w:t>
      </w:r>
      <w:r w:rsidR="0013389B" w:rsidRPr="0013389B">
        <w:rPr>
          <w:rFonts w:cs="Times New Roman"/>
          <w:color w:val="FF0000"/>
          <w:sz w:val="20"/>
          <w:szCs w:val="20"/>
        </w:rPr>
        <w:t>[</w:t>
      </w:r>
      <w:r w:rsidRPr="0013389B">
        <w:rPr>
          <w:rFonts w:cs="Times New Roman"/>
          <w:noProof/>
          <w:color w:val="FF0000"/>
          <w:sz w:val="20"/>
          <w:szCs w:val="20"/>
        </w:rPr>
        <w:t>12</w:t>
      </w:r>
      <w:r w:rsidR="0013389B" w:rsidRPr="0013389B">
        <w:rPr>
          <w:rFonts w:cs="Times New Roman"/>
          <w:noProof/>
          <w:color w:val="FF0000"/>
          <w:sz w:val="20"/>
          <w:szCs w:val="20"/>
        </w:rPr>
        <w:t>]</w:t>
      </w:r>
      <w:r w:rsidRPr="0013389B">
        <w:rPr>
          <w:rFonts w:cs="Times New Roman"/>
          <w:color w:val="FF0000"/>
          <w:sz w:val="20"/>
          <w:szCs w:val="20"/>
        </w:rPr>
        <w:t xml:space="preserve"> </w:t>
      </w:r>
      <w:r w:rsidR="004A6F9D">
        <w:rPr>
          <w:rFonts w:cs="Times New Roman"/>
          <w:sz w:val="20"/>
          <w:szCs w:val="20"/>
        </w:rPr>
        <w:t xml:space="preserve">readings 6 </w:t>
      </w:r>
      <w:r w:rsidRPr="001C35B6">
        <w:rPr>
          <w:rFonts w:cs="Times New Roman"/>
          <w:sz w:val="20"/>
          <w:szCs w:val="20"/>
        </w:rPr>
        <w:t>months after discharge. Additionally, a study</w:t>
      </w:r>
      <w:r w:rsidR="00007458">
        <w:rPr>
          <w:rFonts w:cs="Times New Roman"/>
          <w:sz w:val="20"/>
          <w:szCs w:val="20"/>
        </w:rPr>
        <w:t xml:space="preserve"> </w:t>
      </w:r>
      <w:r w:rsidR="00007458" w:rsidRPr="00007458">
        <w:rPr>
          <w:rFonts w:cs="Times New Roman"/>
          <w:color w:val="FF0000"/>
          <w:sz w:val="20"/>
          <w:szCs w:val="20"/>
        </w:rPr>
        <w:t>[</w:t>
      </w:r>
      <w:r w:rsidRPr="00007458">
        <w:rPr>
          <w:rFonts w:cs="Times New Roman"/>
          <w:noProof/>
          <w:color w:val="FF0000"/>
          <w:sz w:val="20"/>
          <w:szCs w:val="20"/>
        </w:rPr>
        <w:t>4</w:t>
      </w:r>
      <w:r w:rsidR="00007458">
        <w:rPr>
          <w:rFonts w:cs="Times New Roman"/>
          <w:noProof/>
          <w:color w:val="FF0000"/>
          <w:sz w:val="20"/>
          <w:szCs w:val="20"/>
        </w:rPr>
        <w:t>]</w:t>
      </w:r>
      <w:r w:rsidRPr="001C35B6">
        <w:rPr>
          <w:rFonts w:cs="Times New Roman"/>
          <w:sz w:val="20"/>
          <w:szCs w:val="20"/>
        </w:rPr>
        <w:t xml:space="preserve"> using clinic BP measures also reported that COVID-19 patients had elevated </w:t>
      </w:r>
      <w:r w:rsidR="00121CDE" w:rsidRPr="00121CDE">
        <w:rPr>
          <w:rFonts w:cs="Times New Roman"/>
          <w:sz w:val="20"/>
          <w:szCs w:val="20"/>
        </w:rPr>
        <w:t>SBP and DBP</w:t>
      </w:r>
      <w:r w:rsidR="00844C30">
        <w:rPr>
          <w:rFonts w:cs="Times New Roman"/>
          <w:sz w:val="20"/>
          <w:szCs w:val="20"/>
        </w:rPr>
        <w:t xml:space="preserve"> </w:t>
      </w:r>
      <w:r w:rsidRPr="001C35B6">
        <w:rPr>
          <w:rFonts w:cs="Times New Roman"/>
          <w:sz w:val="20"/>
          <w:szCs w:val="20"/>
        </w:rPr>
        <w:t xml:space="preserve">after 31.6 </w:t>
      </w:r>
      <w:r w:rsidRPr="0013389B">
        <w:rPr>
          <w:rFonts w:cs="Times New Roman"/>
          <w:color w:val="FF0000"/>
          <w:sz w:val="20"/>
          <w:szCs w:val="20"/>
        </w:rPr>
        <w:t xml:space="preserve">± </w:t>
      </w:r>
      <w:r w:rsidRPr="001C35B6">
        <w:rPr>
          <w:rFonts w:cs="Times New Roman"/>
          <w:sz w:val="20"/>
          <w:szCs w:val="20"/>
        </w:rPr>
        <w:t>5.0 days on average after diagnosis. The variance in existing findings can likely be ascribed to a range of factors, including the diverse severity of COVID-19 symptoms experienced by individuals and the critical aspect of when the outcomes are measured after COVID-19 infection. For example, one</w:t>
      </w:r>
      <w:r w:rsidR="00007458">
        <w:rPr>
          <w:rFonts w:cs="Times New Roman"/>
          <w:sz w:val="20"/>
          <w:szCs w:val="20"/>
        </w:rPr>
        <w:t xml:space="preserve"> </w:t>
      </w:r>
      <w:r w:rsidR="00007458" w:rsidRPr="00007458">
        <w:rPr>
          <w:rFonts w:cs="Times New Roman"/>
          <w:color w:val="FF0000"/>
          <w:sz w:val="20"/>
          <w:szCs w:val="20"/>
        </w:rPr>
        <w:t>[</w:t>
      </w:r>
      <w:r w:rsidRPr="00007458">
        <w:rPr>
          <w:rFonts w:cs="Times New Roman"/>
          <w:noProof/>
          <w:color w:val="FF0000"/>
          <w:sz w:val="20"/>
          <w:szCs w:val="20"/>
        </w:rPr>
        <w:t>8</w:t>
      </w:r>
      <w:r w:rsidR="00007458" w:rsidRPr="00007458">
        <w:rPr>
          <w:rFonts w:cs="Times New Roman"/>
          <w:noProof/>
          <w:color w:val="FF0000"/>
          <w:sz w:val="20"/>
          <w:szCs w:val="20"/>
        </w:rPr>
        <w:t>]</w:t>
      </w:r>
      <w:r w:rsidRPr="001C35B6">
        <w:rPr>
          <w:rFonts w:cs="Times New Roman"/>
          <w:sz w:val="20"/>
          <w:szCs w:val="20"/>
        </w:rPr>
        <w:t xml:space="preserve"> of the two studies that reported comparable 24-hour ABP among groups reported a significant inverse relationship between time since COVID-19 diagnosis and BP, with higher BP readings when measured</w:t>
      </w:r>
      <w:bookmarkStart w:id="2" w:name="_Hlk158105694"/>
      <w:r w:rsidR="009F5651" w:rsidRPr="001C35B6">
        <w:rPr>
          <w:rFonts w:cs="Times New Roman"/>
          <w:sz w:val="20"/>
          <w:szCs w:val="20"/>
        </w:rPr>
        <w:t xml:space="preserve"> closer to the acute infection. </w:t>
      </w:r>
      <w:r w:rsidR="00FA6813" w:rsidRPr="001C35B6">
        <w:rPr>
          <w:rFonts w:cs="Times New Roman"/>
          <w:sz w:val="20"/>
          <w:szCs w:val="20"/>
        </w:rPr>
        <w:t>Recognizing</w:t>
      </w:r>
      <w:r w:rsidRPr="001C35B6">
        <w:rPr>
          <w:rFonts w:cs="Times New Roman"/>
          <w:sz w:val="20"/>
          <w:szCs w:val="20"/>
        </w:rPr>
        <w:t xml:space="preserve"> the significance of contextualizing the severity of COVID-19 infection, in the current study, we recruited three groups of participants (COVID-19 with hospitalization, COVID-19 with no hospitalization, and no COVID-19).</w:t>
      </w:r>
      <w:bookmarkEnd w:id="2"/>
      <w:r w:rsidRPr="001C35B6">
        <w:rPr>
          <w:rFonts w:cs="Times New Roman"/>
          <w:sz w:val="20"/>
          <w:szCs w:val="20"/>
        </w:rPr>
        <w:t xml:space="preserve"> We also incorporated a comprehensive analysis of self-reported symptoms associated with COVID-19, providing a more granular view of the disease's impact. Additionally, we integrated the fatigue severity score scale, recognizing that fatigue can be a pervasive and often underestimated aspect of the post-COVID-19 experience. The aim of this pilot study was to generate preliminary data on the association between COVID-19 severity and 24-hour ABP parameters after </w:t>
      </w:r>
      <w:r w:rsidRPr="00FA6813">
        <w:rPr>
          <w:rFonts w:cs="Times New Roman"/>
          <w:color w:val="FF0000"/>
          <w:sz w:val="20"/>
          <w:szCs w:val="20"/>
        </w:rPr>
        <w:t>≥</w:t>
      </w:r>
      <w:r w:rsidRPr="001C35B6">
        <w:rPr>
          <w:rFonts w:cs="Times New Roman"/>
          <w:sz w:val="20"/>
          <w:szCs w:val="20"/>
        </w:rPr>
        <w:t xml:space="preserve"> 3-months of i</w:t>
      </w:r>
      <w:r w:rsidR="004D27CD">
        <w:rPr>
          <w:rFonts w:cs="Times New Roman"/>
          <w:sz w:val="20"/>
          <w:szCs w:val="20"/>
        </w:rPr>
        <w:t xml:space="preserve">nitial diagnosis </w:t>
      </w:r>
      <w:r w:rsidR="00086D48">
        <w:rPr>
          <w:rFonts w:cs="Times New Roman"/>
          <w:sz w:val="20"/>
          <w:szCs w:val="20"/>
        </w:rPr>
        <w:t>of</w:t>
      </w:r>
      <w:r w:rsidR="004D27CD">
        <w:rPr>
          <w:rFonts w:cs="Times New Roman"/>
          <w:sz w:val="20"/>
          <w:szCs w:val="20"/>
        </w:rPr>
        <w:t xml:space="preserve"> </w:t>
      </w:r>
      <w:r w:rsidR="00086D48" w:rsidRPr="00086D48">
        <w:rPr>
          <w:rFonts w:cs="Times New Roman"/>
          <w:sz w:val="20"/>
          <w:szCs w:val="20"/>
        </w:rPr>
        <w:t>COVID-19</w:t>
      </w:r>
      <w:r w:rsidR="004D27CD">
        <w:rPr>
          <w:rFonts w:cs="Times New Roman"/>
          <w:sz w:val="20"/>
          <w:szCs w:val="20"/>
        </w:rPr>
        <w:t>.</w:t>
      </w:r>
    </w:p>
    <w:p w:rsidR="00DF0CAC" w:rsidRPr="001C35B6" w:rsidRDefault="00DF0CAC" w:rsidP="001C35B6">
      <w:pPr>
        <w:contextualSpacing/>
        <w:mirrorIndents/>
        <w:jc w:val="both"/>
        <w:rPr>
          <w:rFonts w:cs="Times New Roman"/>
          <w:sz w:val="20"/>
          <w:szCs w:val="20"/>
        </w:rPr>
      </w:pPr>
    </w:p>
    <w:p w:rsidR="00A00AC6" w:rsidRPr="00FA6813" w:rsidRDefault="00A00AC6" w:rsidP="001C35B6">
      <w:pPr>
        <w:contextualSpacing/>
        <w:mirrorIndents/>
        <w:jc w:val="both"/>
        <w:rPr>
          <w:rFonts w:cs="Times New Roman"/>
          <w:b/>
          <w:sz w:val="20"/>
          <w:szCs w:val="20"/>
        </w:rPr>
      </w:pPr>
      <w:r w:rsidRPr="002E1B5F">
        <w:rPr>
          <w:rFonts w:cs="Times New Roman"/>
          <w:b/>
          <w:sz w:val="22"/>
          <w:szCs w:val="20"/>
        </w:rPr>
        <w:t>Methods</w:t>
      </w:r>
    </w:p>
    <w:p w:rsidR="009F5651" w:rsidRPr="001C35B6" w:rsidRDefault="009F5651" w:rsidP="001C35B6">
      <w:pPr>
        <w:contextualSpacing/>
        <w:mirrorIndents/>
        <w:jc w:val="both"/>
        <w:rPr>
          <w:rFonts w:cs="Times New Roman"/>
          <w:sz w:val="20"/>
          <w:szCs w:val="20"/>
        </w:rPr>
      </w:pPr>
    </w:p>
    <w:p w:rsidR="009F5651" w:rsidRPr="00FA6813" w:rsidRDefault="00A00AC6" w:rsidP="001C35B6">
      <w:pPr>
        <w:contextualSpacing/>
        <w:mirrorIndents/>
        <w:jc w:val="both"/>
        <w:rPr>
          <w:rFonts w:eastAsia="Times New Roman" w:cs="Times New Roman"/>
          <w:b/>
          <w:sz w:val="20"/>
          <w:szCs w:val="20"/>
        </w:rPr>
      </w:pPr>
      <w:r w:rsidRPr="00FA6813">
        <w:rPr>
          <w:rFonts w:eastAsia="Times New Roman" w:cs="Times New Roman"/>
          <w:b/>
          <w:iCs/>
          <w:sz w:val="20"/>
          <w:szCs w:val="20"/>
        </w:rPr>
        <w:t xml:space="preserve">Study </w:t>
      </w:r>
      <w:r w:rsidR="00FA6813">
        <w:rPr>
          <w:rFonts w:eastAsia="Times New Roman" w:cs="Times New Roman"/>
          <w:b/>
          <w:iCs/>
          <w:sz w:val="20"/>
          <w:szCs w:val="20"/>
        </w:rPr>
        <w:t>Design, Setting, a</w:t>
      </w:r>
      <w:r w:rsidR="00FA6813" w:rsidRPr="00FA6813">
        <w:rPr>
          <w:rFonts w:eastAsia="Times New Roman" w:cs="Times New Roman"/>
          <w:b/>
          <w:iCs/>
          <w:sz w:val="20"/>
          <w:szCs w:val="20"/>
        </w:rPr>
        <w:t>nd Participants</w:t>
      </w:r>
    </w:p>
    <w:p w:rsidR="009F5651" w:rsidRPr="001C35B6" w:rsidRDefault="009F5651" w:rsidP="001C35B6">
      <w:pPr>
        <w:contextualSpacing/>
        <w:mirrorIndents/>
        <w:jc w:val="both"/>
        <w:rPr>
          <w:rFonts w:cs="Times New Roman"/>
          <w:sz w:val="20"/>
          <w:szCs w:val="20"/>
        </w:rPr>
      </w:pPr>
    </w:p>
    <w:p w:rsidR="00A00AC6" w:rsidRDefault="00A00AC6" w:rsidP="001C35B6">
      <w:pPr>
        <w:contextualSpacing/>
        <w:mirrorIndents/>
        <w:jc w:val="both"/>
        <w:rPr>
          <w:rFonts w:eastAsia="Times New Roman" w:cs="Times New Roman"/>
          <w:sz w:val="20"/>
          <w:szCs w:val="20"/>
        </w:rPr>
      </w:pPr>
      <w:r w:rsidRPr="001C35B6">
        <w:rPr>
          <w:rFonts w:cs="Times New Roman"/>
          <w:sz w:val="20"/>
          <w:szCs w:val="20"/>
        </w:rPr>
        <w:t>In this prospective cross-sectional s</w:t>
      </w:r>
      <w:r w:rsidR="00E72E73">
        <w:rPr>
          <w:rFonts w:cs="Times New Roman"/>
          <w:sz w:val="20"/>
          <w:szCs w:val="20"/>
        </w:rPr>
        <w:t>tudy, we recruited adults (18-</w:t>
      </w:r>
      <w:r w:rsidRPr="001C35B6">
        <w:rPr>
          <w:rFonts w:cs="Times New Roman"/>
          <w:sz w:val="20"/>
          <w:szCs w:val="20"/>
        </w:rPr>
        <w:t>65 years of age) who met one of the following three criteria: had a diagnosis of COVID-19 (</w:t>
      </w:r>
      <w:r w:rsidRPr="00CB17B8">
        <w:rPr>
          <w:rFonts w:cs="Times New Roman"/>
          <w:color w:val="FF0000"/>
          <w:sz w:val="20"/>
          <w:szCs w:val="20"/>
        </w:rPr>
        <w:t>≥</w:t>
      </w:r>
      <w:r w:rsidRPr="001C35B6">
        <w:rPr>
          <w:rFonts w:cs="Times New Roman"/>
          <w:sz w:val="20"/>
          <w:szCs w:val="20"/>
        </w:rPr>
        <w:t>3 months ago) that resulted in hospitalization; had a diagnosis of COVID-19 (</w:t>
      </w:r>
      <w:r w:rsidRPr="00CB17B8">
        <w:rPr>
          <w:rFonts w:cs="Times New Roman"/>
          <w:color w:val="FF0000"/>
          <w:sz w:val="20"/>
          <w:szCs w:val="20"/>
        </w:rPr>
        <w:t>≥</w:t>
      </w:r>
      <w:r w:rsidRPr="001C35B6">
        <w:rPr>
          <w:rFonts w:cs="Times New Roman"/>
          <w:sz w:val="20"/>
          <w:szCs w:val="20"/>
        </w:rPr>
        <w:t xml:space="preserve">3 months ago) that did not result in hospitalization; or had a negative COVID-19 test </w:t>
      </w:r>
      <w:r w:rsidRPr="00CB17B8">
        <w:rPr>
          <w:rFonts w:cs="Times New Roman"/>
          <w:color w:val="FF0000"/>
          <w:sz w:val="20"/>
          <w:szCs w:val="20"/>
        </w:rPr>
        <w:t>≥</w:t>
      </w:r>
      <w:r w:rsidRPr="001C35B6">
        <w:rPr>
          <w:rFonts w:cs="Times New Roman"/>
          <w:sz w:val="20"/>
          <w:szCs w:val="20"/>
        </w:rPr>
        <w:t xml:space="preserve">3 months ago and did not have history of COVID-19 diagnosis. Exclusion criteria included: </w:t>
      </w:r>
      <w:r w:rsidRPr="001C35B6">
        <w:rPr>
          <w:rFonts w:eastAsia="Times New Roman" w:cs="Times New Roman"/>
          <w:sz w:val="20"/>
          <w:szCs w:val="20"/>
        </w:rPr>
        <w:t xml:space="preserve">(1) receiving treatment for high </w:t>
      </w:r>
      <w:r w:rsidR="00B11642">
        <w:rPr>
          <w:rFonts w:eastAsia="Times New Roman" w:cs="Times New Roman"/>
          <w:sz w:val="20"/>
          <w:szCs w:val="20"/>
        </w:rPr>
        <w:t>BP</w:t>
      </w:r>
      <w:r w:rsidRPr="001C35B6">
        <w:rPr>
          <w:rFonts w:eastAsia="Times New Roman" w:cs="Times New Roman"/>
          <w:sz w:val="20"/>
          <w:szCs w:val="20"/>
        </w:rPr>
        <w:t xml:space="preserve">, (2) a diagnosis of atrial fibrillation or other arrhythmia, arteriovenous fistula in the brachial arm, or lymphedema, (3) those with history of angina pectoris, myocardial infarction, stroke, heart failure, </w:t>
      </w:r>
      <w:proofErr w:type="spellStart"/>
      <w:r w:rsidRPr="001C35B6">
        <w:rPr>
          <w:rFonts w:eastAsia="Times New Roman" w:cs="Times New Roman"/>
          <w:sz w:val="20"/>
          <w:szCs w:val="20"/>
        </w:rPr>
        <w:t>peripartum</w:t>
      </w:r>
      <w:proofErr w:type="spellEnd"/>
      <w:r w:rsidRPr="001C35B6">
        <w:rPr>
          <w:rFonts w:eastAsia="Times New Roman" w:cs="Times New Roman"/>
          <w:sz w:val="20"/>
          <w:szCs w:val="20"/>
        </w:rPr>
        <w:t xml:space="preserve"> cardiomyopathy, or bleeding disorder, (4) those who were currently on blood thinners, and (5) </w:t>
      </w:r>
      <w:r w:rsidR="00B11642">
        <w:rPr>
          <w:rFonts w:eastAsia="Times New Roman" w:cs="Times New Roman"/>
          <w:sz w:val="20"/>
          <w:szCs w:val="20"/>
        </w:rPr>
        <w:t xml:space="preserve">body mass index </w:t>
      </w:r>
      <w:r w:rsidRPr="00CB17B8">
        <w:rPr>
          <w:rFonts w:eastAsia="Times New Roman" w:cs="Times New Roman"/>
          <w:color w:val="FF0000"/>
          <w:sz w:val="20"/>
          <w:szCs w:val="20"/>
        </w:rPr>
        <w:t xml:space="preserve">≥ </w:t>
      </w:r>
      <w:r w:rsidRPr="001C35B6">
        <w:rPr>
          <w:rFonts w:eastAsia="Times New Roman" w:cs="Times New Roman"/>
          <w:sz w:val="20"/>
          <w:szCs w:val="20"/>
        </w:rPr>
        <w:t>40</w:t>
      </w:r>
      <w:r w:rsidR="003D6134">
        <w:rPr>
          <w:rFonts w:eastAsia="Times New Roman" w:cs="Times New Roman"/>
          <w:sz w:val="20"/>
          <w:szCs w:val="20"/>
        </w:rPr>
        <w:t xml:space="preserve"> kg/m</w:t>
      </w:r>
      <w:r w:rsidR="003D6134" w:rsidRPr="00666654">
        <w:rPr>
          <w:rFonts w:eastAsia="Times New Roman" w:cs="Times New Roman"/>
          <w:sz w:val="20"/>
          <w:szCs w:val="20"/>
          <w:vertAlign w:val="superscript"/>
        </w:rPr>
        <w:t>2</w:t>
      </w:r>
      <w:r w:rsidRPr="001C35B6">
        <w:rPr>
          <w:rFonts w:eastAsia="Times New Roman" w:cs="Times New Roman"/>
          <w:sz w:val="20"/>
          <w:szCs w:val="20"/>
        </w:rPr>
        <w:t>.</w:t>
      </w:r>
    </w:p>
    <w:p w:rsidR="00B11642" w:rsidRPr="001C35B6" w:rsidRDefault="00B11642" w:rsidP="001C35B6">
      <w:pPr>
        <w:contextualSpacing/>
        <w:mirrorIndents/>
        <w:jc w:val="both"/>
        <w:rPr>
          <w:rFonts w:eastAsia="Times New Roman" w:cs="Times New Roman"/>
          <w:kern w:val="0"/>
          <w:sz w:val="20"/>
          <w:szCs w:val="20"/>
        </w:rPr>
      </w:pPr>
    </w:p>
    <w:p w:rsidR="00A00AC6" w:rsidRPr="00CB17B8" w:rsidRDefault="00A00AC6" w:rsidP="001C35B6">
      <w:pPr>
        <w:contextualSpacing/>
        <w:mirrorIndents/>
        <w:jc w:val="both"/>
        <w:rPr>
          <w:rFonts w:cs="Times New Roman"/>
          <w:b/>
          <w:iCs/>
          <w:sz w:val="20"/>
          <w:szCs w:val="20"/>
        </w:rPr>
      </w:pPr>
      <w:r w:rsidRPr="00CB17B8">
        <w:rPr>
          <w:rFonts w:cs="Times New Roman"/>
          <w:b/>
          <w:iCs/>
          <w:sz w:val="20"/>
          <w:szCs w:val="20"/>
        </w:rPr>
        <w:lastRenderedPageBreak/>
        <w:t xml:space="preserve">Procedures </w:t>
      </w:r>
    </w:p>
    <w:p w:rsidR="004630BD" w:rsidRPr="001C35B6" w:rsidRDefault="004630BD" w:rsidP="001C35B6">
      <w:pPr>
        <w:contextualSpacing/>
        <w:mirrorIndents/>
        <w:jc w:val="both"/>
        <w:rPr>
          <w:rFonts w:cs="Times New Roman"/>
          <w:iCs/>
          <w:sz w:val="20"/>
          <w:szCs w:val="20"/>
        </w:rPr>
      </w:pPr>
    </w:p>
    <w:p w:rsidR="00143CAB" w:rsidRDefault="00A00AC6" w:rsidP="001C35B6">
      <w:pPr>
        <w:contextualSpacing/>
        <w:mirrorIndents/>
        <w:jc w:val="both"/>
        <w:rPr>
          <w:rFonts w:cs="Times New Roman"/>
          <w:sz w:val="20"/>
          <w:szCs w:val="20"/>
          <w:shd w:val="clear" w:color="auto" w:fill="FFFFFF"/>
        </w:rPr>
      </w:pPr>
      <w:r w:rsidRPr="001C35B6">
        <w:rPr>
          <w:rFonts w:cs="Times New Roman"/>
          <w:sz w:val="20"/>
          <w:szCs w:val="20"/>
          <w:shd w:val="clear" w:color="auto" w:fill="FFFFFF"/>
        </w:rPr>
        <w:t>After obtaining written consent, participants visited our research clinic. During this baseline visit, participants completed: 1) a baseline questionnaire including demographic characteristics and fatigue using the fatigue severity score</w:t>
      </w:r>
      <w:r w:rsidR="00BF27F7">
        <w:rPr>
          <w:rFonts w:cs="Times New Roman"/>
          <w:sz w:val="20"/>
          <w:szCs w:val="20"/>
          <w:shd w:val="clear" w:color="auto" w:fill="FFFFFF"/>
        </w:rPr>
        <w:t xml:space="preserve"> </w:t>
      </w:r>
      <w:r w:rsidR="00BF27F7" w:rsidRPr="00BF27F7">
        <w:rPr>
          <w:rFonts w:cs="Times New Roman"/>
          <w:color w:val="FF0000"/>
          <w:sz w:val="20"/>
          <w:szCs w:val="20"/>
          <w:shd w:val="clear" w:color="auto" w:fill="FFFFFF"/>
        </w:rPr>
        <w:t>[</w:t>
      </w:r>
      <w:r w:rsidRPr="00BF27F7">
        <w:rPr>
          <w:rFonts w:cs="Times New Roman"/>
          <w:noProof/>
          <w:color w:val="FF0000"/>
          <w:sz w:val="20"/>
          <w:szCs w:val="20"/>
          <w:shd w:val="clear" w:color="auto" w:fill="FFFFFF"/>
        </w:rPr>
        <w:t>13</w:t>
      </w:r>
      <w:r w:rsidR="00BF27F7" w:rsidRPr="00BF27F7">
        <w:rPr>
          <w:rFonts w:cs="Times New Roman"/>
          <w:noProof/>
          <w:color w:val="FF0000"/>
          <w:sz w:val="20"/>
          <w:szCs w:val="20"/>
          <w:shd w:val="clear" w:color="auto" w:fill="FFFFFF"/>
        </w:rPr>
        <w:t>]</w:t>
      </w:r>
      <w:r w:rsidRPr="001C35B6">
        <w:rPr>
          <w:rFonts w:cs="Times New Roman"/>
          <w:sz w:val="20"/>
          <w:szCs w:val="20"/>
          <w:shd w:val="clear" w:color="auto" w:fill="FFFFFF"/>
        </w:rPr>
        <w:t xml:space="preserve">; 2) anthropometric measurements (weight, height, and upper-mid-arm circumference); and 3) </w:t>
      </w:r>
      <w:r w:rsidRPr="001C35B6">
        <w:rPr>
          <w:rFonts w:eastAsia="Times New Roman" w:cs="Times New Roman"/>
          <w:color w:val="000000"/>
          <w:sz w:val="20"/>
          <w:szCs w:val="20"/>
        </w:rPr>
        <w:t xml:space="preserve">brachial artery resting BP measurement using Omron </w:t>
      </w:r>
      <w:proofErr w:type="spellStart"/>
      <w:r w:rsidRPr="001C35B6">
        <w:rPr>
          <w:rFonts w:eastAsia="Times New Roman" w:cs="Times New Roman"/>
          <w:color w:val="000000"/>
          <w:sz w:val="20"/>
          <w:szCs w:val="20"/>
        </w:rPr>
        <w:t>oscillometer</w:t>
      </w:r>
      <w:proofErr w:type="spellEnd"/>
      <w:r w:rsidRPr="001C35B6">
        <w:rPr>
          <w:rFonts w:eastAsia="Times New Roman" w:cs="Times New Roman"/>
          <w:color w:val="000000"/>
          <w:sz w:val="20"/>
          <w:szCs w:val="20"/>
        </w:rPr>
        <w:t xml:space="preserve"> device (</w:t>
      </w:r>
      <w:r w:rsidR="00BF27F7">
        <w:rPr>
          <w:rFonts w:cs="Times New Roman"/>
          <w:color w:val="000000"/>
          <w:sz w:val="20"/>
          <w:szCs w:val="20"/>
          <w:shd w:val="clear" w:color="auto" w:fill="FFFFFF"/>
        </w:rPr>
        <w:t>Omron 907</w:t>
      </w:r>
      <w:r w:rsidRPr="001C35B6">
        <w:rPr>
          <w:rFonts w:cs="Times New Roman"/>
          <w:color w:val="000000"/>
          <w:sz w:val="20"/>
          <w:szCs w:val="20"/>
          <w:shd w:val="clear" w:color="auto" w:fill="FFFFFF"/>
        </w:rPr>
        <w:t>L, Omron, Lake Forest, IL</w:t>
      </w:r>
      <w:r w:rsidRPr="001C35B6">
        <w:rPr>
          <w:rFonts w:eastAsia="Times New Roman" w:cs="Times New Roman"/>
          <w:color w:val="000000"/>
          <w:sz w:val="20"/>
          <w:szCs w:val="20"/>
        </w:rPr>
        <w:t>)</w:t>
      </w:r>
      <w:r w:rsidR="00BF27F7">
        <w:rPr>
          <w:rFonts w:eastAsia="Times New Roman" w:cs="Times New Roman"/>
          <w:color w:val="000000"/>
          <w:sz w:val="20"/>
          <w:szCs w:val="20"/>
        </w:rPr>
        <w:t xml:space="preserve"> </w:t>
      </w:r>
      <w:r w:rsidR="00BF27F7" w:rsidRPr="00BF27F7">
        <w:rPr>
          <w:rFonts w:eastAsia="Times New Roman" w:cs="Times New Roman"/>
          <w:color w:val="FF0000"/>
          <w:sz w:val="20"/>
          <w:szCs w:val="20"/>
        </w:rPr>
        <w:t>[</w:t>
      </w:r>
      <w:r w:rsidRPr="00BF27F7">
        <w:rPr>
          <w:rFonts w:eastAsia="Times New Roman" w:cs="Times New Roman"/>
          <w:noProof/>
          <w:color w:val="FF0000"/>
          <w:sz w:val="20"/>
          <w:szCs w:val="20"/>
        </w:rPr>
        <w:t>14</w:t>
      </w:r>
      <w:r w:rsidR="00BF27F7" w:rsidRPr="00BF27F7">
        <w:rPr>
          <w:rFonts w:eastAsia="Times New Roman" w:cs="Times New Roman"/>
          <w:noProof/>
          <w:color w:val="FF0000"/>
          <w:sz w:val="20"/>
          <w:szCs w:val="20"/>
        </w:rPr>
        <w:t>]</w:t>
      </w:r>
      <w:r w:rsidRPr="001C35B6">
        <w:rPr>
          <w:rFonts w:eastAsia="Times New Roman" w:cs="Times New Roman"/>
          <w:color w:val="000000"/>
          <w:sz w:val="20"/>
          <w:szCs w:val="20"/>
        </w:rPr>
        <w:t xml:space="preserve"> per the American Heart Association and the </w:t>
      </w:r>
      <w:r w:rsidRPr="001C35B6">
        <w:rPr>
          <w:rFonts w:cs="Times New Roman"/>
          <w:sz w:val="20"/>
          <w:szCs w:val="20"/>
          <w:shd w:val="clear" w:color="auto" w:fill="FFFFFF"/>
        </w:rPr>
        <w:t>international consensus on standardized c</w:t>
      </w:r>
      <w:r w:rsidR="00BF27F7">
        <w:rPr>
          <w:rFonts w:cs="Times New Roman"/>
          <w:sz w:val="20"/>
          <w:szCs w:val="20"/>
          <w:shd w:val="clear" w:color="auto" w:fill="FFFFFF"/>
        </w:rPr>
        <w:t xml:space="preserve">linic BP measurement guidelines </w:t>
      </w:r>
      <w:r w:rsidR="00BF27F7" w:rsidRPr="00BF27F7">
        <w:rPr>
          <w:rFonts w:cs="Times New Roman"/>
          <w:color w:val="FF0000"/>
          <w:sz w:val="20"/>
          <w:szCs w:val="20"/>
          <w:shd w:val="clear" w:color="auto" w:fill="FFFFFF"/>
        </w:rPr>
        <w:t>[</w:t>
      </w:r>
      <w:r w:rsidRPr="00BF27F7">
        <w:rPr>
          <w:rFonts w:cs="Times New Roman"/>
          <w:noProof/>
          <w:color w:val="FF0000"/>
          <w:sz w:val="20"/>
          <w:szCs w:val="20"/>
          <w:shd w:val="clear" w:color="auto" w:fill="FFFFFF"/>
        </w:rPr>
        <w:t>15,16</w:t>
      </w:r>
      <w:r w:rsidR="00BF27F7" w:rsidRPr="00BF27F7">
        <w:rPr>
          <w:rFonts w:cs="Times New Roman"/>
          <w:noProof/>
          <w:color w:val="FF0000"/>
          <w:sz w:val="20"/>
          <w:szCs w:val="20"/>
          <w:shd w:val="clear" w:color="auto" w:fill="FFFFFF"/>
        </w:rPr>
        <w:t>]</w:t>
      </w:r>
      <w:r w:rsidR="00BF27F7">
        <w:rPr>
          <w:rFonts w:eastAsia="Times New Roman" w:cs="Times New Roman"/>
          <w:color w:val="000000"/>
          <w:sz w:val="20"/>
          <w:szCs w:val="20"/>
        </w:rPr>
        <w:t xml:space="preserve">. </w:t>
      </w:r>
      <w:r w:rsidRPr="001C35B6">
        <w:rPr>
          <w:rFonts w:eastAsia="Times New Roman" w:cs="Times New Roman"/>
          <w:color w:val="000000"/>
          <w:sz w:val="20"/>
          <w:szCs w:val="20"/>
        </w:rPr>
        <w:t>We obtained three BP readings, and the mean of the three measurements was used for</w:t>
      </w:r>
      <w:r w:rsidR="009D600B">
        <w:rPr>
          <w:rFonts w:eastAsia="Times New Roman" w:cs="Times New Roman"/>
          <w:color w:val="000000"/>
          <w:sz w:val="20"/>
          <w:szCs w:val="20"/>
        </w:rPr>
        <w:t xml:space="preserve"> </w:t>
      </w:r>
      <w:r w:rsidRPr="001C35B6">
        <w:rPr>
          <w:rFonts w:eastAsia="Times New Roman" w:cs="Times New Roman"/>
          <w:color w:val="000000"/>
          <w:sz w:val="20"/>
          <w:szCs w:val="20"/>
        </w:rPr>
        <w:t>analysis. When leaving the clinic, participants were fit</w:t>
      </w:r>
      <w:r w:rsidRPr="001C35B6">
        <w:rPr>
          <w:rFonts w:cs="Times New Roman"/>
          <w:sz w:val="20"/>
          <w:szCs w:val="20"/>
          <w:shd w:val="clear" w:color="auto" w:fill="FFFFFF"/>
        </w:rPr>
        <w:t xml:space="preserve"> with the ABP monitor (</w:t>
      </w:r>
      <w:r w:rsidRPr="001C35B6">
        <w:rPr>
          <w:rFonts w:cs="Times New Roman"/>
          <w:sz w:val="20"/>
          <w:szCs w:val="20"/>
        </w:rPr>
        <w:t>Mobil-O-Graph, IEM GmbH, Stolberg, Germany</w:t>
      </w:r>
      <w:r w:rsidRPr="001C35B6">
        <w:rPr>
          <w:rFonts w:cs="Times New Roman"/>
          <w:sz w:val="20"/>
          <w:szCs w:val="20"/>
          <w:shd w:val="clear" w:color="auto" w:fill="FFFFFF"/>
        </w:rPr>
        <w:t xml:space="preserve">), which they wore for 24 hours. </w:t>
      </w:r>
    </w:p>
    <w:p w:rsidR="00143CAB" w:rsidRDefault="00143CAB" w:rsidP="001C35B6">
      <w:pPr>
        <w:contextualSpacing/>
        <w:mirrorIndents/>
        <w:jc w:val="both"/>
        <w:rPr>
          <w:rFonts w:cs="Times New Roman"/>
          <w:sz w:val="20"/>
          <w:szCs w:val="20"/>
          <w:shd w:val="clear" w:color="auto" w:fill="FFFFFF"/>
        </w:rPr>
      </w:pPr>
    </w:p>
    <w:p w:rsidR="00143CAB" w:rsidRPr="00143CAB" w:rsidRDefault="00143CAB" w:rsidP="001C35B6">
      <w:pPr>
        <w:contextualSpacing/>
        <w:mirrorIndents/>
        <w:jc w:val="both"/>
        <w:rPr>
          <w:rFonts w:eastAsia="Times New Roman" w:cs="Times New Roman"/>
          <w:b/>
          <w:color w:val="000000"/>
          <w:sz w:val="20"/>
          <w:szCs w:val="20"/>
        </w:rPr>
      </w:pPr>
      <w:r w:rsidRPr="00143CAB">
        <w:rPr>
          <w:rFonts w:eastAsia="Times New Roman" w:cs="Times New Roman"/>
          <w:b/>
          <w:iCs/>
          <w:color w:val="000000"/>
          <w:sz w:val="20"/>
          <w:szCs w:val="20"/>
        </w:rPr>
        <w:t xml:space="preserve">24-Hour </w:t>
      </w:r>
      <w:r w:rsidR="00A00AC6" w:rsidRPr="00143CAB">
        <w:rPr>
          <w:rFonts w:eastAsia="Times New Roman" w:cs="Times New Roman"/>
          <w:b/>
          <w:iCs/>
          <w:color w:val="000000"/>
          <w:sz w:val="20"/>
          <w:szCs w:val="20"/>
        </w:rPr>
        <w:t xml:space="preserve">ABP </w:t>
      </w:r>
      <w:r w:rsidRPr="00143CAB">
        <w:rPr>
          <w:rFonts w:eastAsia="Times New Roman" w:cs="Times New Roman"/>
          <w:b/>
          <w:iCs/>
          <w:color w:val="000000"/>
          <w:sz w:val="20"/>
          <w:szCs w:val="20"/>
        </w:rPr>
        <w:t>Monitoring</w:t>
      </w:r>
    </w:p>
    <w:p w:rsidR="00143CAB" w:rsidRDefault="00143CAB" w:rsidP="001C35B6">
      <w:pPr>
        <w:contextualSpacing/>
        <w:mirrorIndents/>
        <w:jc w:val="both"/>
        <w:rPr>
          <w:rFonts w:eastAsia="Times New Roman" w:cs="Times New Roman"/>
          <w:color w:val="000000"/>
          <w:sz w:val="20"/>
          <w:szCs w:val="20"/>
        </w:rPr>
      </w:pPr>
    </w:p>
    <w:p w:rsidR="00A00AC6" w:rsidRPr="0072607E" w:rsidRDefault="00A00AC6" w:rsidP="001C35B6">
      <w:pPr>
        <w:contextualSpacing/>
        <w:mirrorIndents/>
        <w:jc w:val="both"/>
        <w:rPr>
          <w:rFonts w:cs="Times New Roman"/>
          <w:sz w:val="20"/>
          <w:szCs w:val="20"/>
        </w:rPr>
      </w:pPr>
      <w:r w:rsidRPr="001C35B6">
        <w:rPr>
          <w:rFonts w:cs="Times New Roman"/>
          <w:sz w:val="20"/>
          <w:szCs w:val="20"/>
        </w:rPr>
        <w:t>The 24-hour ABP monitoring device was configured to record BP measurements every 30 minutes during the day (while awake) and every hour during the nighttime (while as</w:t>
      </w:r>
      <w:r w:rsidR="00880DBF">
        <w:rPr>
          <w:rFonts w:cs="Times New Roman"/>
          <w:sz w:val="20"/>
          <w:szCs w:val="20"/>
        </w:rPr>
        <w:t>leep) based on the participants-</w:t>
      </w:r>
      <w:r w:rsidRPr="001C35B6">
        <w:rPr>
          <w:rFonts w:cs="Times New Roman"/>
          <w:sz w:val="20"/>
          <w:szCs w:val="20"/>
        </w:rPr>
        <w:t>reported wake and sleep times. In accordance with</w:t>
      </w:r>
      <w:r w:rsidR="00662432">
        <w:rPr>
          <w:rFonts w:cs="Times New Roman"/>
          <w:sz w:val="20"/>
          <w:szCs w:val="20"/>
        </w:rPr>
        <w:t xml:space="preserve"> the</w:t>
      </w:r>
      <w:r w:rsidRPr="001C35B6">
        <w:rPr>
          <w:rFonts w:cs="Times New Roman"/>
          <w:sz w:val="20"/>
          <w:szCs w:val="20"/>
        </w:rPr>
        <w:t xml:space="preserve"> American Heart Association guidelines for BP measurement, appropriately sized cuffs were applied to the participants' non-dominant mid-upper arm circumferences</w:t>
      </w:r>
      <w:r w:rsidR="0072607E">
        <w:rPr>
          <w:rFonts w:cs="Times New Roman"/>
          <w:sz w:val="20"/>
          <w:szCs w:val="20"/>
        </w:rPr>
        <w:t xml:space="preserve"> </w:t>
      </w:r>
      <w:r w:rsidR="0072607E" w:rsidRPr="0072607E">
        <w:rPr>
          <w:rFonts w:cs="Times New Roman"/>
          <w:color w:val="FF0000"/>
          <w:sz w:val="20"/>
          <w:szCs w:val="20"/>
        </w:rPr>
        <w:t>[16]</w:t>
      </w:r>
      <w:r w:rsidRPr="001C35B6">
        <w:rPr>
          <w:rFonts w:cs="Times New Roman"/>
          <w:sz w:val="20"/>
          <w:szCs w:val="20"/>
        </w:rPr>
        <w:t>.</w:t>
      </w:r>
      <w:r w:rsidR="0072607E">
        <w:rPr>
          <w:rFonts w:cs="Times New Roman"/>
          <w:sz w:val="20"/>
          <w:szCs w:val="20"/>
        </w:rPr>
        <w:t xml:space="preserve"> </w:t>
      </w:r>
      <w:r w:rsidRPr="001C35B6">
        <w:rPr>
          <w:rFonts w:cs="Times New Roman"/>
          <w:sz w:val="20"/>
          <w:szCs w:val="20"/>
        </w:rPr>
        <w:t>Participants were instructed to maintain their usual daily activities during the measurement period, ensuring their arm remained still and extended at cuff inflation. Subsequently, all ABP parameters, including 24-hour ambulatory brachial and aortic BP</w:t>
      </w:r>
      <w:r w:rsidR="00C75AF1">
        <w:rPr>
          <w:rFonts w:cs="Times New Roman"/>
          <w:sz w:val="20"/>
          <w:szCs w:val="20"/>
        </w:rPr>
        <w:t xml:space="preserve"> (cSBP, cDBP)</w:t>
      </w:r>
      <w:r w:rsidRPr="001C35B6">
        <w:rPr>
          <w:rFonts w:cs="Times New Roman"/>
          <w:sz w:val="20"/>
          <w:szCs w:val="20"/>
        </w:rPr>
        <w:t xml:space="preserve">, mean arterial pressure, (AIx@75), </w:t>
      </w:r>
      <w:r w:rsidR="00402C8E">
        <w:rPr>
          <w:rFonts w:cs="Times New Roman"/>
          <w:sz w:val="20"/>
          <w:szCs w:val="20"/>
        </w:rPr>
        <w:t>PWV</w:t>
      </w:r>
      <w:r w:rsidRPr="001C35B6">
        <w:rPr>
          <w:rFonts w:cs="Times New Roman"/>
          <w:sz w:val="20"/>
          <w:szCs w:val="20"/>
        </w:rPr>
        <w:t>, and related metrics, were extracted from the device using HMS Client Server software. Utilizing these data, we computed the average values for 24-hour ABP parameters. Nocturnal BP dipping was assessed by calculating the percentage of BP drop, employing the formula: d</w:t>
      </w:r>
      <w:r w:rsidR="00A678C2">
        <w:rPr>
          <w:rFonts w:cs="Times New Roman"/>
          <w:sz w:val="20"/>
          <w:szCs w:val="20"/>
        </w:rPr>
        <w:t>ipping (%) = (mean daytime BP-</w:t>
      </w:r>
      <w:r w:rsidRPr="001C35B6">
        <w:rPr>
          <w:rFonts w:cs="Times New Roman"/>
          <w:sz w:val="20"/>
          <w:szCs w:val="20"/>
        </w:rPr>
        <w:t>mean nighttime BP) * 100/ mean daytime BP. This percentage was categorized into two groups: non-dipping BP (defined as a &lt; 10% decrease) and dipping (10% to 20% decrease)</w:t>
      </w:r>
      <w:r w:rsidR="0072607E">
        <w:rPr>
          <w:rFonts w:cs="Times New Roman"/>
          <w:sz w:val="20"/>
          <w:szCs w:val="20"/>
        </w:rPr>
        <w:t xml:space="preserve"> </w:t>
      </w:r>
      <w:r w:rsidR="0072607E" w:rsidRPr="0072607E">
        <w:rPr>
          <w:rFonts w:cs="Times New Roman"/>
          <w:color w:val="FF0000"/>
          <w:sz w:val="20"/>
          <w:szCs w:val="20"/>
        </w:rPr>
        <w:t>[17]</w:t>
      </w:r>
      <w:r w:rsidRPr="001C35B6">
        <w:rPr>
          <w:rFonts w:cs="Times New Roman"/>
          <w:sz w:val="20"/>
          <w:szCs w:val="20"/>
        </w:rPr>
        <w:t>.</w:t>
      </w:r>
      <w:r w:rsidR="0072607E">
        <w:rPr>
          <w:rFonts w:cs="Times New Roman"/>
          <w:sz w:val="20"/>
          <w:szCs w:val="20"/>
        </w:rPr>
        <w:t xml:space="preserve"> </w:t>
      </w:r>
      <w:r w:rsidRPr="001C35B6">
        <w:rPr>
          <w:rFonts w:eastAsia="Times New Roman" w:cs="Times New Roman"/>
          <w:color w:val="000000" w:themeColor="text1"/>
          <w:sz w:val="20"/>
          <w:szCs w:val="20"/>
        </w:rPr>
        <w:t xml:space="preserve">In addition, we calculated ABPV indices including </w:t>
      </w:r>
      <w:r w:rsidR="00402C8E" w:rsidRPr="001C35B6">
        <w:rPr>
          <w:rFonts w:eastAsia="Times New Roman" w:cs="Times New Roman"/>
          <w:color w:val="000000" w:themeColor="text1"/>
          <w:sz w:val="20"/>
          <w:szCs w:val="20"/>
        </w:rPr>
        <w:t xml:space="preserve">standard deviation </w:t>
      </w:r>
      <w:r w:rsidRPr="001C35B6">
        <w:rPr>
          <w:rFonts w:eastAsia="Times New Roman" w:cs="Times New Roman"/>
          <w:color w:val="000000" w:themeColor="text1"/>
          <w:sz w:val="20"/>
          <w:szCs w:val="20"/>
        </w:rPr>
        <w:t xml:space="preserve">(SD), </w:t>
      </w:r>
      <w:r w:rsidR="00402C8E" w:rsidRPr="001C35B6">
        <w:rPr>
          <w:rFonts w:eastAsia="Times New Roman" w:cs="Times New Roman"/>
          <w:color w:val="000000" w:themeColor="text1"/>
          <w:sz w:val="20"/>
          <w:szCs w:val="20"/>
        </w:rPr>
        <w:t xml:space="preserve">coefficient of variation </w:t>
      </w:r>
      <w:r w:rsidRPr="001C35B6">
        <w:rPr>
          <w:rFonts w:eastAsia="Times New Roman" w:cs="Times New Roman"/>
          <w:color w:val="000000" w:themeColor="text1"/>
          <w:sz w:val="20"/>
          <w:szCs w:val="20"/>
        </w:rPr>
        <w:t>(</w:t>
      </w:r>
      <w:proofErr w:type="spellStart"/>
      <w:r w:rsidRPr="001C35B6">
        <w:rPr>
          <w:rFonts w:eastAsia="Times New Roman" w:cs="Times New Roman"/>
          <w:color w:val="000000" w:themeColor="text1"/>
          <w:sz w:val="20"/>
          <w:szCs w:val="20"/>
        </w:rPr>
        <w:t>CoV</w:t>
      </w:r>
      <w:proofErr w:type="spellEnd"/>
      <w:r w:rsidRPr="001C35B6">
        <w:rPr>
          <w:rFonts w:eastAsia="Times New Roman" w:cs="Times New Roman"/>
          <w:color w:val="000000" w:themeColor="text1"/>
          <w:sz w:val="20"/>
          <w:szCs w:val="20"/>
        </w:rPr>
        <w:t xml:space="preserve">), </w:t>
      </w:r>
      <w:r w:rsidR="00402C8E" w:rsidRPr="001C35B6">
        <w:rPr>
          <w:rFonts w:eastAsia="Times New Roman" w:cs="Times New Roman"/>
          <w:color w:val="000000" w:themeColor="text1"/>
          <w:sz w:val="20"/>
          <w:szCs w:val="20"/>
        </w:rPr>
        <w:t xml:space="preserve">weighted standard </w:t>
      </w:r>
      <w:r w:rsidR="00402C8E">
        <w:rPr>
          <w:rFonts w:eastAsia="Times New Roman" w:cs="Times New Roman"/>
          <w:color w:val="000000" w:themeColor="text1"/>
          <w:sz w:val="20"/>
          <w:szCs w:val="20"/>
        </w:rPr>
        <w:t>deviation</w:t>
      </w:r>
      <w:r w:rsidR="00402C8E" w:rsidRPr="001C35B6">
        <w:rPr>
          <w:rFonts w:eastAsia="Times New Roman" w:cs="Times New Roman"/>
          <w:color w:val="000000" w:themeColor="text1"/>
          <w:sz w:val="20"/>
          <w:szCs w:val="20"/>
        </w:rPr>
        <w:t xml:space="preserve"> </w:t>
      </w:r>
      <w:r w:rsidRPr="001C35B6">
        <w:rPr>
          <w:rFonts w:eastAsia="Times New Roman" w:cs="Times New Roman"/>
          <w:color w:val="000000" w:themeColor="text1"/>
          <w:sz w:val="20"/>
          <w:szCs w:val="20"/>
        </w:rPr>
        <w:t>(wSD),</w:t>
      </w:r>
      <w:r w:rsidR="0072607E">
        <w:rPr>
          <w:rFonts w:eastAsia="Times New Roman" w:cs="Times New Roman"/>
          <w:color w:val="000000" w:themeColor="text1"/>
          <w:sz w:val="20"/>
          <w:szCs w:val="20"/>
        </w:rPr>
        <w:t xml:space="preserve"> </w:t>
      </w:r>
      <w:r w:rsidR="0072607E" w:rsidRPr="0072607E">
        <w:rPr>
          <w:rFonts w:eastAsia="Times New Roman" w:cs="Times New Roman"/>
          <w:color w:val="FF0000"/>
          <w:sz w:val="20"/>
          <w:szCs w:val="20"/>
        </w:rPr>
        <w:t>[18]</w:t>
      </w:r>
      <w:r w:rsidRPr="001C35B6">
        <w:rPr>
          <w:rFonts w:eastAsia="Times New Roman" w:cs="Times New Roman"/>
          <w:color w:val="000000" w:themeColor="text1"/>
          <w:sz w:val="20"/>
          <w:szCs w:val="20"/>
        </w:rPr>
        <w:t xml:space="preserve"> </w:t>
      </w:r>
      <w:r w:rsidR="00703127" w:rsidRPr="001C35B6">
        <w:rPr>
          <w:rFonts w:eastAsia="Times New Roman" w:cs="Times New Roman"/>
          <w:color w:val="000000" w:themeColor="text1"/>
          <w:sz w:val="20"/>
          <w:szCs w:val="20"/>
        </w:rPr>
        <w:t xml:space="preserve">average real variability </w:t>
      </w:r>
      <w:r w:rsidRPr="001C35B6">
        <w:rPr>
          <w:rFonts w:eastAsia="Times New Roman" w:cs="Times New Roman"/>
          <w:color w:val="000000" w:themeColor="text1"/>
          <w:sz w:val="20"/>
          <w:szCs w:val="20"/>
        </w:rPr>
        <w:t>(ARV),</w:t>
      </w:r>
      <w:r w:rsidR="0072607E">
        <w:rPr>
          <w:rFonts w:eastAsia="Times New Roman" w:cs="Times New Roman"/>
          <w:color w:val="000000" w:themeColor="text1"/>
          <w:sz w:val="20"/>
          <w:szCs w:val="20"/>
        </w:rPr>
        <w:t xml:space="preserve"> </w:t>
      </w:r>
      <w:r w:rsidR="0072607E" w:rsidRPr="0072607E">
        <w:rPr>
          <w:rFonts w:eastAsia="Times New Roman" w:cs="Times New Roman"/>
          <w:color w:val="FF0000"/>
          <w:sz w:val="20"/>
          <w:szCs w:val="20"/>
        </w:rPr>
        <w:t>[</w:t>
      </w:r>
      <w:r w:rsidRPr="0072607E">
        <w:rPr>
          <w:rFonts w:eastAsia="Times New Roman" w:cs="Times New Roman"/>
          <w:color w:val="FF0000"/>
          <w:sz w:val="20"/>
          <w:szCs w:val="20"/>
        </w:rPr>
        <w:t>19,20</w:t>
      </w:r>
      <w:r w:rsidR="0072607E" w:rsidRPr="0072607E">
        <w:rPr>
          <w:rFonts w:eastAsia="Times New Roman" w:cs="Times New Roman"/>
          <w:color w:val="FF0000"/>
          <w:sz w:val="20"/>
          <w:szCs w:val="20"/>
        </w:rPr>
        <w:t>]</w:t>
      </w:r>
      <w:r w:rsidR="0072607E">
        <w:rPr>
          <w:rFonts w:eastAsia="Times New Roman" w:cs="Times New Roman"/>
          <w:color w:val="000000" w:themeColor="text1"/>
          <w:sz w:val="20"/>
          <w:szCs w:val="20"/>
          <w:vertAlign w:val="superscript"/>
        </w:rPr>
        <w:t xml:space="preserve"> </w:t>
      </w:r>
      <w:r w:rsidRPr="001C35B6">
        <w:rPr>
          <w:rFonts w:eastAsia="Times New Roman" w:cs="Times New Roman"/>
          <w:color w:val="000000" w:themeColor="text1"/>
          <w:sz w:val="20"/>
          <w:szCs w:val="20"/>
        </w:rPr>
        <w:t xml:space="preserve">and </w:t>
      </w:r>
      <w:r w:rsidR="00703127" w:rsidRPr="001C35B6">
        <w:rPr>
          <w:rFonts w:eastAsia="Times New Roman" w:cs="Times New Roman"/>
          <w:color w:val="000000" w:themeColor="text1"/>
          <w:sz w:val="20"/>
          <w:szCs w:val="20"/>
        </w:rPr>
        <w:t xml:space="preserve">successive variation </w:t>
      </w:r>
      <w:r w:rsidR="0072607E">
        <w:rPr>
          <w:rFonts w:eastAsia="Times New Roman" w:cs="Times New Roman"/>
          <w:color w:val="000000" w:themeColor="text1"/>
          <w:sz w:val="20"/>
          <w:szCs w:val="20"/>
        </w:rPr>
        <w:t xml:space="preserve">(SV) </w:t>
      </w:r>
      <w:r w:rsidR="0072607E" w:rsidRPr="0072607E">
        <w:rPr>
          <w:rFonts w:eastAsia="Times New Roman" w:cs="Times New Roman"/>
          <w:color w:val="FF0000"/>
          <w:sz w:val="20"/>
          <w:szCs w:val="20"/>
        </w:rPr>
        <w:t>[</w:t>
      </w:r>
      <w:r w:rsidRPr="0072607E">
        <w:rPr>
          <w:rFonts w:eastAsia="Times New Roman" w:cs="Times New Roman"/>
          <w:color w:val="FF0000"/>
          <w:sz w:val="20"/>
          <w:szCs w:val="20"/>
        </w:rPr>
        <w:t>21</w:t>
      </w:r>
      <w:r w:rsidR="0072607E" w:rsidRPr="0072607E">
        <w:rPr>
          <w:rFonts w:eastAsia="Times New Roman" w:cs="Times New Roman"/>
          <w:color w:val="FF0000"/>
          <w:sz w:val="20"/>
          <w:szCs w:val="20"/>
        </w:rPr>
        <w:t>]</w:t>
      </w:r>
      <w:r w:rsidR="0072607E">
        <w:rPr>
          <w:rFonts w:eastAsia="Times New Roman" w:cs="Times New Roman"/>
          <w:color w:val="000000" w:themeColor="text1"/>
          <w:sz w:val="20"/>
          <w:szCs w:val="20"/>
        </w:rPr>
        <w:t>.</w:t>
      </w:r>
    </w:p>
    <w:p w:rsidR="00A00AC6" w:rsidRPr="001C35B6" w:rsidRDefault="00A00AC6" w:rsidP="001C35B6">
      <w:pPr>
        <w:contextualSpacing/>
        <w:mirrorIndents/>
        <w:jc w:val="both"/>
        <w:rPr>
          <w:rFonts w:cs="Times New Roman"/>
          <w:sz w:val="20"/>
          <w:szCs w:val="20"/>
        </w:rPr>
      </w:pPr>
    </w:p>
    <w:p w:rsidR="00A00AC6" w:rsidRPr="00AB4C46" w:rsidRDefault="00A00AC6" w:rsidP="001C35B6">
      <w:pPr>
        <w:contextualSpacing/>
        <w:mirrorIndents/>
        <w:jc w:val="both"/>
        <w:rPr>
          <w:rFonts w:eastAsia="Times New Roman" w:cs="Times New Roman"/>
          <w:b/>
          <w:sz w:val="20"/>
          <w:szCs w:val="20"/>
        </w:rPr>
      </w:pPr>
      <w:r w:rsidRPr="00AB4C46">
        <w:rPr>
          <w:rFonts w:eastAsia="Times New Roman" w:cs="Times New Roman"/>
          <w:b/>
          <w:iCs/>
          <w:sz w:val="20"/>
          <w:szCs w:val="20"/>
        </w:rPr>
        <w:t xml:space="preserve">Data </w:t>
      </w:r>
      <w:r w:rsidR="00AB4C46" w:rsidRPr="00AB4C46">
        <w:rPr>
          <w:rFonts w:eastAsia="Times New Roman" w:cs="Times New Roman"/>
          <w:b/>
          <w:iCs/>
          <w:sz w:val="20"/>
          <w:szCs w:val="20"/>
        </w:rPr>
        <w:t>Analysis</w:t>
      </w:r>
      <w:r w:rsidR="00AB4C46" w:rsidRPr="00AB4C46">
        <w:rPr>
          <w:rFonts w:eastAsia="Times New Roman" w:cs="Times New Roman"/>
          <w:b/>
          <w:sz w:val="20"/>
          <w:szCs w:val="20"/>
        </w:rPr>
        <w:t xml:space="preserve"> </w:t>
      </w:r>
    </w:p>
    <w:p w:rsidR="00117BE1" w:rsidRPr="001C35B6" w:rsidRDefault="00117BE1" w:rsidP="001C35B6">
      <w:pPr>
        <w:contextualSpacing/>
        <w:mirrorIndents/>
        <w:jc w:val="both"/>
        <w:rPr>
          <w:rFonts w:eastAsia="Times New Roman" w:cs="Times New Roman"/>
          <w:sz w:val="20"/>
          <w:szCs w:val="20"/>
        </w:rPr>
      </w:pPr>
    </w:p>
    <w:p w:rsidR="00A00AC6" w:rsidRPr="001C35B6" w:rsidRDefault="00A00AC6" w:rsidP="001C35B6">
      <w:pPr>
        <w:contextualSpacing/>
        <w:mirrorIndents/>
        <w:jc w:val="both"/>
        <w:rPr>
          <w:rFonts w:cs="Times New Roman"/>
          <w:sz w:val="20"/>
          <w:szCs w:val="20"/>
        </w:rPr>
      </w:pPr>
      <w:r w:rsidRPr="001C35B6">
        <w:rPr>
          <w:rFonts w:eastAsia="Times New Roman" w:cs="Times New Roman"/>
          <w:sz w:val="20"/>
          <w:szCs w:val="20"/>
        </w:rPr>
        <w:t>Descriptive statistics were used to describe the sample characteristics by COVID-19 diagnosis and hospitalization status. Adherence/compliance to 24-hour ABP monitoring was assessed by calculating the percentage of participants completing the measurement over 24 hours and the number of valid BP readings obtained over the period. Participants who had at least 70% of the expected number of valid BP readings within the 24-hour period were considered compliant and included in the analysis</w:t>
      </w:r>
      <w:r w:rsidR="00357DA0">
        <w:rPr>
          <w:rFonts w:eastAsia="Times New Roman" w:cs="Times New Roman"/>
          <w:sz w:val="20"/>
          <w:szCs w:val="20"/>
        </w:rPr>
        <w:t xml:space="preserve"> </w:t>
      </w:r>
      <w:r w:rsidR="00357DA0" w:rsidRPr="00357DA0">
        <w:rPr>
          <w:rFonts w:eastAsia="Times New Roman" w:cs="Times New Roman"/>
          <w:color w:val="FF0000"/>
          <w:sz w:val="20"/>
          <w:szCs w:val="20"/>
        </w:rPr>
        <w:t>[</w:t>
      </w:r>
      <w:r w:rsidRPr="00357DA0">
        <w:rPr>
          <w:rFonts w:eastAsia="Times New Roman" w:cs="Times New Roman"/>
          <w:color w:val="FF0000"/>
          <w:sz w:val="20"/>
          <w:szCs w:val="20"/>
        </w:rPr>
        <w:t>22</w:t>
      </w:r>
      <w:proofErr w:type="gramStart"/>
      <w:r w:rsidR="00357DA0">
        <w:rPr>
          <w:rFonts w:eastAsia="Times New Roman" w:cs="Times New Roman"/>
          <w:color w:val="FF0000"/>
          <w:sz w:val="20"/>
          <w:szCs w:val="20"/>
        </w:rPr>
        <w:t>,</w:t>
      </w:r>
      <w:r w:rsidRPr="00357DA0">
        <w:rPr>
          <w:rFonts w:eastAsia="Times New Roman" w:cs="Times New Roman"/>
          <w:noProof/>
          <w:color w:val="FF0000"/>
          <w:sz w:val="20"/>
          <w:szCs w:val="20"/>
        </w:rPr>
        <w:t>18</w:t>
      </w:r>
      <w:proofErr w:type="gramEnd"/>
      <w:r w:rsidR="00357DA0" w:rsidRPr="00357DA0">
        <w:rPr>
          <w:rFonts w:eastAsia="Times New Roman" w:cs="Times New Roman"/>
          <w:noProof/>
          <w:color w:val="FF0000"/>
          <w:sz w:val="20"/>
          <w:szCs w:val="20"/>
        </w:rPr>
        <w:t>]</w:t>
      </w:r>
      <w:r w:rsidR="00357DA0">
        <w:rPr>
          <w:rFonts w:eastAsia="Times New Roman" w:cs="Times New Roman"/>
          <w:sz w:val="20"/>
          <w:szCs w:val="20"/>
        </w:rPr>
        <w:t xml:space="preserve">. </w:t>
      </w:r>
      <w:r w:rsidRPr="001C35B6">
        <w:rPr>
          <w:rFonts w:cs="Times New Roman"/>
          <w:sz w:val="20"/>
          <w:szCs w:val="20"/>
          <w:shd w:val="clear" w:color="auto" w:fill="FFFFFF"/>
        </w:rPr>
        <w:t>Analysis of variance and chi-square tests were used to compare means and standard errors of continuous and categorical variables across the three study groups. Multivariable linear regression was conducted to examine group difference in mean 24-hour ABP profiles across the three study groups</w:t>
      </w:r>
      <w:r w:rsidRPr="001C35B6">
        <w:rPr>
          <w:rFonts w:cs="Times New Roman"/>
          <w:sz w:val="20"/>
          <w:szCs w:val="20"/>
        </w:rPr>
        <w:t>. The multivariate linear re</w:t>
      </w:r>
      <w:r w:rsidR="00D15C34">
        <w:rPr>
          <w:rFonts w:cs="Times New Roman"/>
          <w:sz w:val="20"/>
          <w:szCs w:val="20"/>
        </w:rPr>
        <w:t xml:space="preserve">gression model was adjusted for </w:t>
      </w:r>
      <w:r w:rsidR="00D15C34" w:rsidRPr="00D15C34">
        <w:rPr>
          <w:rFonts w:cs="Times New Roman"/>
          <w:sz w:val="20"/>
          <w:szCs w:val="20"/>
        </w:rPr>
        <w:t>timing of BP,</w:t>
      </w:r>
      <w:r w:rsidR="00D15C34">
        <w:rPr>
          <w:rFonts w:cs="Times New Roman"/>
          <w:sz w:val="20"/>
          <w:szCs w:val="20"/>
        </w:rPr>
        <w:t xml:space="preserve"> </w:t>
      </w:r>
      <w:r w:rsidRPr="001C35B6">
        <w:rPr>
          <w:rFonts w:cs="Times New Roman"/>
          <w:sz w:val="20"/>
          <w:szCs w:val="20"/>
        </w:rPr>
        <w:t xml:space="preserve">age, sex, race, smoking, </w:t>
      </w:r>
      <w:r w:rsidR="007B4B6C">
        <w:rPr>
          <w:rFonts w:cs="Times New Roman"/>
          <w:sz w:val="20"/>
          <w:szCs w:val="20"/>
        </w:rPr>
        <w:t xml:space="preserve">weight, </w:t>
      </w:r>
      <w:r w:rsidRPr="001C35B6">
        <w:rPr>
          <w:rFonts w:cs="Times New Roman"/>
          <w:sz w:val="20"/>
          <w:szCs w:val="20"/>
        </w:rPr>
        <w:t>presence of chronic illness, and standard errors for clustering by subject. The additional adjustment for standard errors for clustering was necessary because the repeated measures within a subject were likely correlated, not independent. The data underlying this article cannot be shared publicly due to the small sample size and the risk this might cause for the privacy of individuals that participated in the study. The data will be shared on reasonable request to the corresponding author.</w:t>
      </w:r>
    </w:p>
    <w:p w:rsidR="00A00AC6" w:rsidRPr="001C35B6" w:rsidRDefault="00A00AC6" w:rsidP="001C35B6">
      <w:pPr>
        <w:contextualSpacing/>
        <w:mirrorIndents/>
        <w:jc w:val="both"/>
        <w:rPr>
          <w:rFonts w:cs="Times New Roman"/>
          <w:sz w:val="20"/>
          <w:szCs w:val="20"/>
        </w:rPr>
      </w:pPr>
    </w:p>
    <w:p w:rsidR="00A00AC6" w:rsidRPr="003C10C1" w:rsidRDefault="00A00AC6" w:rsidP="001C35B6">
      <w:pPr>
        <w:contextualSpacing/>
        <w:mirrorIndents/>
        <w:jc w:val="both"/>
        <w:rPr>
          <w:rFonts w:cs="Times New Roman"/>
          <w:b/>
          <w:sz w:val="20"/>
          <w:szCs w:val="20"/>
        </w:rPr>
      </w:pPr>
      <w:r w:rsidRPr="00E6768F">
        <w:rPr>
          <w:rFonts w:cs="Times New Roman"/>
          <w:b/>
          <w:sz w:val="22"/>
          <w:szCs w:val="20"/>
        </w:rPr>
        <w:t>Results</w:t>
      </w:r>
    </w:p>
    <w:p w:rsidR="00117BE1" w:rsidRPr="001C35B6" w:rsidRDefault="00117BE1" w:rsidP="001C35B6">
      <w:pPr>
        <w:contextualSpacing/>
        <w:mirrorIndents/>
        <w:jc w:val="both"/>
        <w:rPr>
          <w:rFonts w:cs="Times New Roman"/>
          <w:sz w:val="20"/>
          <w:szCs w:val="20"/>
        </w:rPr>
      </w:pPr>
    </w:p>
    <w:p w:rsidR="00AF7284" w:rsidRDefault="00A00AC6" w:rsidP="001C35B6">
      <w:pPr>
        <w:contextualSpacing/>
        <w:mirrorIndents/>
        <w:jc w:val="both"/>
        <w:rPr>
          <w:rFonts w:cs="Times New Roman"/>
          <w:sz w:val="20"/>
          <w:szCs w:val="20"/>
        </w:rPr>
      </w:pPr>
      <w:r w:rsidRPr="001C35B6">
        <w:rPr>
          <w:rFonts w:cs="Times New Roman"/>
          <w:sz w:val="20"/>
          <w:szCs w:val="20"/>
        </w:rPr>
        <w:t>Thirty-eight participants successfully completed the study procedure. Of those, four participants were excluded because less than 70% of the desired ABP readings were obtained during the 24-hour cycle. On average, participants with COVID-19 diagnosis that resulted in hospitalization were older (mean age=5</w:t>
      </w:r>
      <w:r w:rsidR="00357DA0">
        <w:rPr>
          <w:rFonts w:cs="Times New Roman"/>
          <w:sz w:val="20"/>
          <w:szCs w:val="20"/>
        </w:rPr>
        <w:t>6 years, SD=</w:t>
      </w:r>
      <w:r w:rsidRPr="001C35B6">
        <w:rPr>
          <w:rFonts w:cs="Times New Roman"/>
          <w:sz w:val="20"/>
          <w:szCs w:val="20"/>
        </w:rPr>
        <w:t>6) than those with the diagnosis of COVID-19 who were not hospital</w:t>
      </w:r>
      <w:r w:rsidR="00357DA0">
        <w:rPr>
          <w:rFonts w:cs="Times New Roman"/>
          <w:sz w:val="20"/>
          <w:szCs w:val="20"/>
        </w:rPr>
        <w:t>ized (mean age=</w:t>
      </w:r>
      <w:r w:rsidR="002A31CD">
        <w:rPr>
          <w:rFonts w:cs="Times New Roman"/>
          <w:sz w:val="20"/>
          <w:szCs w:val="20"/>
        </w:rPr>
        <w:t>38</w:t>
      </w:r>
      <w:r w:rsidR="00357DA0">
        <w:rPr>
          <w:rFonts w:cs="Times New Roman"/>
          <w:sz w:val="20"/>
          <w:szCs w:val="20"/>
        </w:rPr>
        <w:t>years, SD=</w:t>
      </w:r>
      <w:r w:rsidRPr="001C35B6">
        <w:rPr>
          <w:rFonts w:cs="Times New Roman"/>
          <w:sz w:val="20"/>
          <w:szCs w:val="20"/>
        </w:rPr>
        <w:t xml:space="preserve">14) and </w:t>
      </w:r>
      <w:bookmarkStart w:id="3" w:name="_Int_xlHhnKw9"/>
      <w:r w:rsidRPr="001C35B6">
        <w:rPr>
          <w:rFonts w:cs="Times New Roman"/>
          <w:sz w:val="20"/>
          <w:szCs w:val="20"/>
        </w:rPr>
        <w:t>those with no</w:t>
      </w:r>
      <w:bookmarkEnd w:id="3"/>
      <w:r w:rsidR="00357DA0">
        <w:rPr>
          <w:rFonts w:cs="Times New Roman"/>
          <w:sz w:val="20"/>
          <w:szCs w:val="20"/>
        </w:rPr>
        <w:t>-COVID-19 diagnosis (mean age=35 years, SD=</w:t>
      </w:r>
      <w:r w:rsidRPr="001C35B6">
        <w:rPr>
          <w:rFonts w:cs="Times New Roman"/>
          <w:sz w:val="20"/>
          <w:szCs w:val="20"/>
        </w:rPr>
        <w:t>12). Patients with COVID-19 hospitalization had higher mean fatigue severity score (38.8) than those with COVID-19 who were</w:t>
      </w:r>
      <w:r w:rsidR="009D600B">
        <w:rPr>
          <w:rFonts w:cs="Times New Roman"/>
          <w:sz w:val="20"/>
          <w:szCs w:val="20"/>
        </w:rPr>
        <w:t xml:space="preserve"> </w:t>
      </w:r>
      <w:r w:rsidRPr="001C35B6">
        <w:rPr>
          <w:rFonts w:cs="Times New Roman"/>
          <w:sz w:val="20"/>
          <w:szCs w:val="20"/>
        </w:rPr>
        <w:t>not hospitalized</w:t>
      </w:r>
      <w:r w:rsidR="00442C39">
        <w:rPr>
          <w:rFonts w:cs="Times New Roman"/>
          <w:sz w:val="20"/>
          <w:szCs w:val="20"/>
        </w:rPr>
        <w:t xml:space="preserve"> (32.4)</w:t>
      </w:r>
      <w:r w:rsidRPr="001C35B6">
        <w:rPr>
          <w:rFonts w:cs="Times New Roman"/>
          <w:sz w:val="20"/>
          <w:szCs w:val="20"/>
        </w:rPr>
        <w:t xml:space="preserve"> and those with no COVID-19 (29.5). A fatigue severity score of 36 or more suggests that an individual is suffering from possible fatigue and require further </w:t>
      </w:r>
      <w:r w:rsidRPr="001C35B6">
        <w:rPr>
          <w:rFonts w:cs="Times New Roman"/>
          <w:sz w:val="20"/>
          <w:szCs w:val="20"/>
        </w:rPr>
        <w:lastRenderedPageBreak/>
        <w:t xml:space="preserve">investigation. </w:t>
      </w:r>
      <w:r w:rsidRPr="00C149B8">
        <w:rPr>
          <w:rFonts w:cs="Times New Roman"/>
          <w:color w:val="FF0000"/>
          <w:sz w:val="20"/>
          <w:szCs w:val="20"/>
        </w:rPr>
        <w:t>Table 1</w:t>
      </w:r>
      <w:r w:rsidRPr="001C35B6">
        <w:rPr>
          <w:rFonts w:cs="Times New Roman"/>
          <w:sz w:val="20"/>
          <w:szCs w:val="20"/>
        </w:rPr>
        <w:t xml:space="preserve"> provides a summary of selected demographics, anthropometric measurements, </w:t>
      </w:r>
      <w:r w:rsidR="00FF60D7">
        <w:rPr>
          <w:rFonts w:cs="Times New Roman"/>
          <w:sz w:val="20"/>
          <w:szCs w:val="20"/>
        </w:rPr>
        <w:t>BP</w:t>
      </w:r>
      <w:r w:rsidRPr="001C35B6">
        <w:rPr>
          <w:rFonts w:cs="Times New Roman"/>
          <w:sz w:val="20"/>
          <w:szCs w:val="20"/>
        </w:rPr>
        <w:t xml:space="preserve">, and fatigue score by COVID-19 diagnosis and hospitalization status. Compared to COVID-19 patients that were not hospitalized, those with COVID-19 related hospitalization were more likely to report cough, fatigue, fever, hoarse voice, shortness of breath, and weakness </w:t>
      </w:r>
      <w:r w:rsidRPr="002A31CD">
        <w:rPr>
          <w:rFonts w:cs="Times New Roman"/>
          <w:color w:val="FF0000"/>
          <w:sz w:val="20"/>
          <w:szCs w:val="20"/>
        </w:rPr>
        <w:t>(Figure 1)</w:t>
      </w:r>
      <w:r w:rsidRPr="001C35B6">
        <w:rPr>
          <w:rFonts w:cs="Times New Roman"/>
          <w:sz w:val="20"/>
          <w:szCs w:val="20"/>
        </w:rPr>
        <w:t xml:space="preserve">. Fifty percent of COVID-19 patients requiring hospitalization experienced an illness duration exceeding 4 weeks. Among COVID-19 patients admitted to the hospital, 25% had an illness duration ranging from 3 to 4 weeks, while another 25% had an illness duration of 1 to 2 weeks. Conversely, 37.5% of those not requiring hospitalization experienced an illness duration exceeding 4 weeks, and 62.6% of COVID-19 patients without hospitalization had an illness duration of less than two weeks. Compared to those not hospitalized with COVID-19 and those with no COVID-19 diagnosis, 24- hour- SBP, DBP, </w:t>
      </w:r>
      <w:proofErr w:type="spellStart"/>
      <w:r w:rsidRPr="001C35B6">
        <w:rPr>
          <w:rFonts w:cs="Times New Roman"/>
          <w:sz w:val="20"/>
          <w:szCs w:val="20"/>
        </w:rPr>
        <w:t>cSBP</w:t>
      </w:r>
      <w:proofErr w:type="spellEnd"/>
      <w:r w:rsidRPr="001C35B6">
        <w:rPr>
          <w:rFonts w:cs="Times New Roman"/>
          <w:sz w:val="20"/>
          <w:szCs w:val="20"/>
        </w:rPr>
        <w:t xml:space="preserve">, </w:t>
      </w:r>
      <w:proofErr w:type="spellStart"/>
      <w:r w:rsidRPr="001C35B6">
        <w:rPr>
          <w:rFonts w:cs="Times New Roman"/>
          <w:sz w:val="20"/>
          <w:szCs w:val="20"/>
        </w:rPr>
        <w:t>cDPB</w:t>
      </w:r>
      <w:proofErr w:type="spellEnd"/>
      <w:r w:rsidRPr="001C35B6">
        <w:rPr>
          <w:rFonts w:cs="Times New Roman"/>
          <w:sz w:val="20"/>
          <w:szCs w:val="20"/>
        </w:rPr>
        <w:t>, AIx@75, PWV, SD, COV, wSD</w:t>
      </w:r>
      <w:r w:rsidR="002860AB">
        <w:rPr>
          <w:rFonts w:cs="Times New Roman"/>
          <w:sz w:val="20"/>
          <w:szCs w:val="20"/>
        </w:rPr>
        <w:t xml:space="preserve">, ARV, </w:t>
      </w:r>
      <w:r w:rsidR="002860AB" w:rsidRPr="002860AB">
        <w:rPr>
          <w:rFonts w:cs="Times New Roman"/>
          <w:sz w:val="20"/>
          <w:szCs w:val="20"/>
        </w:rPr>
        <w:t xml:space="preserve">and SV </w:t>
      </w:r>
      <w:r w:rsidRPr="001C35B6">
        <w:rPr>
          <w:rFonts w:cs="Times New Roman"/>
          <w:sz w:val="20"/>
          <w:szCs w:val="20"/>
        </w:rPr>
        <w:t xml:space="preserve">parameters were mostly higher for patients hospitalized with COVID-19 </w:t>
      </w:r>
      <w:r w:rsidRPr="002A31CD">
        <w:rPr>
          <w:rFonts w:cs="Times New Roman"/>
          <w:color w:val="FF0000"/>
          <w:sz w:val="20"/>
          <w:szCs w:val="20"/>
        </w:rPr>
        <w:t>(See Figures 2a-f)</w:t>
      </w:r>
      <w:r w:rsidRPr="001C35B6">
        <w:rPr>
          <w:rFonts w:cs="Times New Roman"/>
          <w:sz w:val="20"/>
          <w:szCs w:val="20"/>
        </w:rPr>
        <w:t>. However, these differences were not statistically significant.</w:t>
      </w:r>
      <w:r w:rsidR="00117BE1" w:rsidRPr="001C35B6">
        <w:rPr>
          <w:rFonts w:cs="Times New Roman"/>
          <w:sz w:val="20"/>
          <w:szCs w:val="20"/>
        </w:rPr>
        <w:t xml:space="preserve"> </w:t>
      </w:r>
      <w:r w:rsidRPr="001C35B6">
        <w:rPr>
          <w:rFonts w:cs="Times New Roman"/>
          <w:sz w:val="20"/>
          <w:szCs w:val="20"/>
        </w:rPr>
        <w:t>After adjusting for</w:t>
      </w:r>
      <w:r w:rsidR="00C567A7">
        <w:rPr>
          <w:rFonts w:cs="Times New Roman"/>
          <w:sz w:val="20"/>
          <w:szCs w:val="20"/>
        </w:rPr>
        <w:t xml:space="preserve"> </w:t>
      </w:r>
      <w:r w:rsidR="00C567A7" w:rsidRPr="00C567A7">
        <w:rPr>
          <w:rFonts w:cs="Times New Roman"/>
          <w:sz w:val="20"/>
          <w:szCs w:val="20"/>
        </w:rPr>
        <w:t>timing of BP (</w:t>
      </w:r>
      <w:r w:rsidR="00C567A7">
        <w:rPr>
          <w:rFonts w:cs="Times New Roman"/>
          <w:sz w:val="20"/>
          <w:szCs w:val="20"/>
        </w:rPr>
        <w:t>day vs. night),</w:t>
      </w:r>
      <w:r w:rsidRPr="001C35B6">
        <w:rPr>
          <w:rFonts w:cs="Times New Roman"/>
          <w:sz w:val="20"/>
          <w:szCs w:val="20"/>
        </w:rPr>
        <w:t xml:space="preserve"> age, sex, race, smoking, </w:t>
      </w:r>
      <w:r w:rsidR="00882746">
        <w:rPr>
          <w:rFonts w:cs="Times New Roman"/>
          <w:sz w:val="20"/>
          <w:szCs w:val="20"/>
        </w:rPr>
        <w:t xml:space="preserve">weight </w:t>
      </w:r>
      <w:r w:rsidRPr="001C35B6">
        <w:rPr>
          <w:rFonts w:cs="Times New Roman"/>
          <w:sz w:val="20"/>
          <w:szCs w:val="20"/>
        </w:rPr>
        <w:t>presence of chronic illness, and standard errors (to account for potential within subject correlation in repeated BP measures), patients with COVID-19 that did not result in hospitalization had lower AIx@75 (</w:t>
      </w:r>
      <w:r w:rsidR="00A142F9">
        <w:rPr>
          <w:rFonts w:cs="Times New Roman"/>
          <w:sz w:val="20"/>
          <w:szCs w:val="20"/>
        </w:rPr>
        <w:t>m</w:t>
      </w:r>
      <w:r w:rsidRPr="001C35B6">
        <w:rPr>
          <w:rFonts w:cs="Times New Roman"/>
          <w:sz w:val="20"/>
          <w:szCs w:val="20"/>
        </w:rPr>
        <w:t xml:space="preserve">ean difference of 4.30, SD = 2.38; p &lt; 0.1) than those hospitalized with COVID-19 </w:t>
      </w:r>
      <w:r w:rsidRPr="002A31CD">
        <w:rPr>
          <w:rFonts w:cs="Times New Roman"/>
          <w:color w:val="FF0000"/>
          <w:sz w:val="20"/>
          <w:szCs w:val="20"/>
        </w:rPr>
        <w:t>(Table 2)</w:t>
      </w:r>
      <w:r w:rsidRPr="001C35B6">
        <w:rPr>
          <w:rFonts w:cs="Times New Roman"/>
          <w:sz w:val="20"/>
          <w:szCs w:val="20"/>
        </w:rPr>
        <w:t>. Other 24-hour ABP parameters (SBP, DBP, cSBP, cDBP, and PWV) were also lower for COVID-19 patients that were not hospitalized when compared to those who were hospitalized, although the difference did not reach statistical significance in the adjusted model.</w:t>
      </w:r>
    </w:p>
    <w:p w:rsidR="007D7FAB" w:rsidRDefault="007D7FAB" w:rsidP="001C35B6">
      <w:pPr>
        <w:contextualSpacing/>
        <w:mirrorIndents/>
        <w:jc w:val="both"/>
        <w:rPr>
          <w:rFonts w:cs="Times New Roman"/>
          <w:sz w:val="20"/>
          <w:szCs w:val="20"/>
        </w:rPr>
      </w:pPr>
    </w:p>
    <w:tbl>
      <w:tblPr>
        <w:tblW w:w="9254" w:type="dxa"/>
        <w:jc w:val="center"/>
        <w:tblLook w:val="04A0" w:firstRow="1" w:lastRow="0" w:firstColumn="1" w:lastColumn="0" w:noHBand="0" w:noVBand="1"/>
      </w:tblPr>
      <w:tblGrid>
        <w:gridCol w:w="2264"/>
        <w:gridCol w:w="1353"/>
        <w:gridCol w:w="1534"/>
        <w:gridCol w:w="1394"/>
        <w:gridCol w:w="1237"/>
        <w:gridCol w:w="1501"/>
      </w:tblGrid>
      <w:tr w:rsidR="00AF7284" w:rsidRPr="00AF7284" w:rsidTr="0058375E">
        <w:trPr>
          <w:trHeight w:val="285"/>
          <w:jc w:val="center"/>
        </w:trPr>
        <w:tc>
          <w:tcPr>
            <w:tcW w:w="2264" w:type="dxa"/>
            <w:tcBorders>
              <w:top w:val="single" w:sz="4" w:space="0" w:color="auto"/>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Blood pressure parameters and indices</w:t>
            </w:r>
          </w:p>
        </w:tc>
        <w:tc>
          <w:tcPr>
            <w:tcW w:w="1353" w:type="dxa"/>
            <w:tcBorders>
              <w:top w:val="single" w:sz="4" w:space="0" w:color="auto"/>
              <w:left w:val="nil"/>
              <w:bottom w:val="single" w:sz="4" w:space="0" w:color="auto"/>
              <w:right w:val="single" w:sz="4" w:space="0" w:color="auto"/>
            </w:tcBorders>
            <w:shd w:val="clear" w:color="auto" w:fill="auto"/>
            <w:noWrap/>
            <w:hideMark/>
          </w:tcPr>
          <w:p w:rsidR="00AF7284" w:rsidRPr="00AF7284" w:rsidRDefault="00AF7284" w:rsidP="00081F5F">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Total</w:t>
            </w:r>
          </w:p>
        </w:tc>
        <w:tc>
          <w:tcPr>
            <w:tcW w:w="1534" w:type="dxa"/>
            <w:tcBorders>
              <w:top w:val="single" w:sz="4" w:space="0" w:color="auto"/>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COVID-19 with hospitalization</w:t>
            </w:r>
            <w:r w:rsidRPr="00AF7284">
              <w:rPr>
                <w:rFonts w:eastAsia="Times New Roman" w:cs="Times New Roman"/>
                <w:color w:val="000000"/>
                <w:kern w:val="0"/>
                <w:sz w:val="20"/>
                <w:szCs w:val="20"/>
                <w:lang w:eastAsia="en-IN"/>
              </w:rPr>
              <w:br/>
              <w:t>(n=4)</w:t>
            </w:r>
          </w:p>
        </w:tc>
        <w:tc>
          <w:tcPr>
            <w:tcW w:w="1363" w:type="dxa"/>
            <w:tcBorders>
              <w:top w:val="single" w:sz="4" w:space="0" w:color="auto"/>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COVID-19 without hospitalization (n=17)</w:t>
            </w:r>
          </w:p>
        </w:tc>
        <w:tc>
          <w:tcPr>
            <w:tcW w:w="1237" w:type="dxa"/>
            <w:tcBorders>
              <w:top w:val="single" w:sz="4" w:space="0" w:color="auto"/>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No COVID-19  (n=13)</w:t>
            </w:r>
          </w:p>
        </w:tc>
        <w:tc>
          <w:tcPr>
            <w:tcW w:w="1501" w:type="dxa"/>
            <w:tcBorders>
              <w:top w:val="single" w:sz="4" w:space="0" w:color="auto"/>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p-value (Kruskal-Wallis Test/Chi-square Test)</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081F5F"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M</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SD/n (%)</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M</w:t>
            </w:r>
            <w:r w:rsidRPr="00EB51D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SD/n (%)</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M</w:t>
            </w:r>
            <w:r w:rsidRPr="00EB51D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SD/n (%)</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M</w:t>
            </w:r>
            <w:r w:rsidRPr="00D42EAA">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SD/n (%)</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r>
      <w:tr w:rsidR="00AF7284" w:rsidRPr="00AF7284" w:rsidTr="0058375E">
        <w:trPr>
          <w:trHeight w:val="285"/>
          <w:jc w:val="center"/>
        </w:trPr>
        <w:tc>
          <w:tcPr>
            <w:tcW w:w="9254"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Demographics/Anthropometric measure/Fatigue score</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Age in years (Mean</w:t>
            </w:r>
            <w:r w:rsidRPr="00AF7284">
              <w:rPr>
                <w:rFonts w:eastAsia="Times New Roman" w:cs="Times New Roman"/>
                <w:noProof/>
                <w:color w:val="FF0000"/>
                <w:kern w:val="0"/>
                <w:sz w:val="20"/>
                <w:szCs w:val="20"/>
                <w:lang w:eastAsia="en-IN"/>
              </w:rPr>
              <w:t>±</w:t>
            </w:r>
            <w:r w:rsidRPr="00AF7284">
              <w:rPr>
                <w:rFonts w:eastAsia="Times New Roman" w:cs="Times New Roman"/>
                <w:noProof/>
                <w:color w:val="000000"/>
                <w:kern w:val="0"/>
                <w:sz w:val="20"/>
                <w:szCs w:val="20"/>
                <w:lang w:eastAsia="en-IN"/>
              </w:rPr>
              <w:t xml:space="preserve"> SD)</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39</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14</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56</w:t>
            </w:r>
            <w:r w:rsidRPr="00AF7284">
              <w:rPr>
                <w:rFonts w:eastAsia="Times New Roman" w:cs="Times New Roman"/>
                <w:noProof/>
                <w:color w:val="FF0000"/>
                <w:kern w:val="0"/>
                <w:sz w:val="20"/>
                <w:szCs w:val="20"/>
                <w:lang w:eastAsia="en-IN"/>
              </w:rPr>
              <w:t>±</w:t>
            </w:r>
            <w:r w:rsidRPr="00AF7284">
              <w:rPr>
                <w:rFonts w:eastAsia="Times New Roman" w:cs="Times New Roman"/>
                <w:noProof/>
                <w:color w:val="000000"/>
                <w:kern w:val="0"/>
                <w:sz w:val="20"/>
                <w:szCs w:val="20"/>
                <w:lang w:eastAsia="en-IN"/>
              </w:rPr>
              <w:t>6</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38</w:t>
            </w:r>
            <w:r w:rsidRPr="00AF7284">
              <w:rPr>
                <w:rFonts w:eastAsia="Times New Roman" w:cs="Times New Roman"/>
                <w:noProof/>
                <w:color w:val="FF0000"/>
                <w:kern w:val="0"/>
                <w:sz w:val="20"/>
                <w:szCs w:val="20"/>
                <w:lang w:eastAsia="en-IN"/>
              </w:rPr>
              <w:t>±</w:t>
            </w:r>
            <w:r w:rsidRPr="00AF7284">
              <w:rPr>
                <w:rFonts w:eastAsia="Times New Roman" w:cs="Times New Roman"/>
                <w:noProof/>
                <w:color w:val="000000"/>
                <w:kern w:val="0"/>
                <w:sz w:val="20"/>
                <w:szCs w:val="20"/>
                <w:lang w:eastAsia="en-IN"/>
              </w:rPr>
              <w:t>14</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35</w:t>
            </w:r>
            <w:r w:rsidRPr="00AF7284">
              <w:rPr>
                <w:rFonts w:eastAsia="Times New Roman" w:cs="Times New Roman"/>
                <w:noProof/>
                <w:color w:val="FF0000"/>
                <w:kern w:val="0"/>
                <w:sz w:val="20"/>
                <w:szCs w:val="20"/>
                <w:lang w:eastAsia="en-IN"/>
              </w:rPr>
              <w:t>±</w:t>
            </w:r>
            <w:r w:rsidRPr="00AF7284">
              <w:rPr>
                <w:rFonts w:eastAsia="Times New Roman" w:cs="Times New Roman"/>
                <w:noProof/>
                <w:color w:val="000000"/>
                <w:kern w:val="0"/>
                <w:sz w:val="20"/>
                <w:szCs w:val="20"/>
                <w:lang w:eastAsia="en-IN"/>
              </w:rPr>
              <w:t>12</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0.052</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081F5F">
              <w:rPr>
                <w:rFonts w:eastAsia="Times New Roman" w:cs="Times New Roman"/>
                <w:noProof/>
                <w:color w:val="FF0000"/>
                <w:kern w:val="0"/>
                <w:sz w:val="20"/>
                <w:szCs w:val="20"/>
                <w:vertAlign w:val="superscript"/>
                <w:lang w:eastAsia="en-IN"/>
              </w:rPr>
              <w:t>a</w:t>
            </w:r>
            <w:r w:rsidRPr="00AF7284">
              <w:rPr>
                <w:rFonts w:eastAsia="Times New Roman" w:cs="Times New Roman"/>
                <w:noProof/>
                <w:color w:val="000000"/>
                <w:kern w:val="0"/>
                <w:sz w:val="20"/>
                <w:szCs w:val="20"/>
                <w:lang w:eastAsia="en-IN"/>
              </w:rPr>
              <w:t>Weight in pounds (Mean</w:t>
            </w:r>
            <w:r w:rsidRPr="00AF7284">
              <w:rPr>
                <w:rFonts w:eastAsia="Times New Roman" w:cs="Times New Roman"/>
                <w:noProof/>
                <w:color w:val="FF0000"/>
                <w:kern w:val="0"/>
                <w:sz w:val="20"/>
                <w:szCs w:val="20"/>
                <w:lang w:eastAsia="en-IN"/>
              </w:rPr>
              <w:t>±</w:t>
            </w:r>
            <w:r w:rsidRPr="00AF7284">
              <w:rPr>
                <w:rFonts w:eastAsia="Times New Roman" w:cs="Times New Roman"/>
                <w:noProof/>
                <w:color w:val="000000"/>
                <w:kern w:val="0"/>
                <w:sz w:val="20"/>
                <w:szCs w:val="20"/>
                <w:lang w:eastAsia="en-IN"/>
              </w:rPr>
              <w:t>SD)</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163.5</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44.5</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187.2</w:t>
            </w:r>
            <w:r w:rsidRPr="00AF7284">
              <w:rPr>
                <w:rFonts w:eastAsia="Times New Roman" w:cs="Times New Roman"/>
                <w:noProof/>
                <w:color w:val="FF0000"/>
                <w:kern w:val="0"/>
                <w:sz w:val="20"/>
                <w:szCs w:val="20"/>
                <w:lang w:eastAsia="en-IN"/>
              </w:rPr>
              <w:t>±</w:t>
            </w:r>
            <w:r w:rsidRPr="00AF7284">
              <w:rPr>
                <w:rFonts w:eastAsia="Times New Roman" w:cs="Times New Roman"/>
                <w:noProof/>
                <w:color w:val="000000"/>
                <w:kern w:val="0"/>
                <w:sz w:val="20"/>
                <w:szCs w:val="20"/>
                <w:lang w:eastAsia="en-IN"/>
              </w:rPr>
              <w:t>18.9</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172.6</w:t>
            </w:r>
            <w:r w:rsidRPr="00AF7284">
              <w:rPr>
                <w:rFonts w:eastAsia="Times New Roman" w:cs="Times New Roman"/>
                <w:noProof/>
                <w:color w:val="FF0000"/>
                <w:kern w:val="0"/>
                <w:sz w:val="20"/>
                <w:szCs w:val="20"/>
                <w:lang w:eastAsia="en-IN"/>
              </w:rPr>
              <w:t>±</w:t>
            </w:r>
            <w:r w:rsidRPr="00AF7284">
              <w:rPr>
                <w:rFonts w:eastAsia="Times New Roman" w:cs="Times New Roman"/>
                <w:noProof/>
                <w:color w:val="000000"/>
                <w:kern w:val="0"/>
                <w:sz w:val="20"/>
                <w:szCs w:val="20"/>
                <w:lang w:eastAsia="en-IN"/>
              </w:rPr>
              <w:t>53.9</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143.5</w:t>
            </w:r>
            <w:r w:rsidRPr="00AF7284">
              <w:rPr>
                <w:rFonts w:eastAsia="Times New Roman" w:cs="Times New Roman"/>
                <w:noProof/>
                <w:color w:val="FF0000"/>
                <w:kern w:val="0"/>
                <w:sz w:val="20"/>
                <w:szCs w:val="20"/>
                <w:lang w:eastAsia="en-IN"/>
              </w:rPr>
              <w:t>±</w:t>
            </w:r>
            <w:r w:rsidRPr="00AF7284">
              <w:rPr>
                <w:rFonts w:eastAsia="Times New Roman" w:cs="Times New Roman"/>
                <w:noProof/>
                <w:color w:val="000000"/>
                <w:kern w:val="0"/>
                <w:sz w:val="20"/>
                <w:szCs w:val="20"/>
                <w:lang w:eastAsia="en-IN"/>
              </w:rPr>
              <w:t>27.6</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0.038*</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7611CC">
              <w:rPr>
                <w:rFonts w:eastAsia="Times New Roman" w:cs="Times New Roman"/>
                <w:noProof/>
                <w:color w:val="FF0000"/>
                <w:kern w:val="0"/>
                <w:sz w:val="20"/>
                <w:szCs w:val="20"/>
                <w:vertAlign w:val="superscript"/>
                <w:lang w:eastAsia="en-IN"/>
              </w:rPr>
              <w:t>b</w:t>
            </w:r>
            <w:r w:rsidRPr="00AF7284">
              <w:rPr>
                <w:rFonts w:eastAsia="Times New Roman" w:cs="Times New Roman"/>
                <w:noProof/>
                <w:color w:val="000000"/>
                <w:kern w:val="0"/>
                <w:sz w:val="20"/>
                <w:szCs w:val="20"/>
                <w:lang w:eastAsia="en-IN"/>
              </w:rPr>
              <w:t>Upper-mid-arm circuference in inches (Mean</w:t>
            </w:r>
            <w:r w:rsidRPr="00AF7284">
              <w:rPr>
                <w:rFonts w:eastAsia="Times New Roman" w:cs="Times New Roman"/>
                <w:noProof/>
                <w:color w:val="FF0000"/>
                <w:kern w:val="0"/>
                <w:sz w:val="20"/>
                <w:szCs w:val="20"/>
                <w:lang w:eastAsia="en-IN"/>
              </w:rPr>
              <w:t>±</w:t>
            </w:r>
            <w:r w:rsidRPr="00AF7284">
              <w:rPr>
                <w:rFonts w:eastAsia="Times New Roman" w:cs="Times New Roman"/>
                <w:noProof/>
                <w:color w:val="000000"/>
                <w:kern w:val="0"/>
                <w:sz w:val="20"/>
                <w:szCs w:val="20"/>
                <w:lang w:eastAsia="en-IN"/>
              </w:rPr>
              <w:t>SD)</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12.4</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8.5</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13.1</w:t>
            </w:r>
            <w:r w:rsidRPr="00AF7284">
              <w:rPr>
                <w:rFonts w:eastAsia="Times New Roman" w:cs="Times New Roman"/>
                <w:noProof/>
                <w:color w:val="FF0000"/>
                <w:kern w:val="0"/>
                <w:sz w:val="20"/>
                <w:szCs w:val="20"/>
                <w:lang w:eastAsia="en-IN"/>
              </w:rPr>
              <w:t>±</w:t>
            </w:r>
            <w:r w:rsidRPr="00AF7284">
              <w:rPr>
                <w:rFonts w:eastAsia="Times New Roman" w:cs="Times New Roman"/>
                <w:noProof/>
                <w:color w:val="000000"/>
                <w:kern w:val="0"/>
                <w:sz w:val="20"/>
                <w:szCs w:val="20"/>
                <w:lang w:eastAsia="en-IN"/>
              </w:rPr>
              <w:t>0.9</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14.3</w:t>
            </w:r>
            <w:r w:rsidRPr="00AF7284">
              <w:rPr>
                <w:rFonts w:eastAsia="Times New Roman" w:cs="Times New Roman"/>
                <w:noProof/>
                <w:color w:val="FF0000"/>
                <w:kern w:val="0"/>
                <w:sz w:val="20"/>
                <w:szCs w:val="20"/>
                <w:lang w:eastAsia="en-IN"/>
              </w:rPr>
              <w:t>±</w:t>
            </w:r>
            <w:r w:rsidRPr="00AF7284">
              <w:rPr>
                <w:rFonts w:eastAsia="Times New Roman" w:cs="Times New Roman"/>
                <w:noProof/>
                <w:color w:val="000000"/>
                <w:kern w:val="0"/>
                <w:sz w:val="20"/>
                <w:szCs w:val="20"/>
                <w:lang w:eastAsia="en-IN"/>
              </w:rPr>
              <w:t>11.1</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9.5</w:t>
            </w:r>
            <w:r w:rsidRPr="00AF7284">
              <w:rPr>
                <w:rFonts w:eastAsia="Times New Roman" w:cs="Times New Roman"/>
                <w:noProof/>
                <w:color w:val="FF0000"/>
                <w:kern w:val="0"/>
                <w:sz w:val="20"/>
                <w:szCs w:val="20"/>
                <w:lang w:eastAsia="en-IN"/>
              </w:rPr>
              <w:t>±</w:t>
            </w:r>
            <w:r w:rsidRPr="00AF7284">
              <w:rPr>
                <w:rFonts w:eastAsia="Times New Roman" w:cs="Times New Roman"/>
                <w:noProof/>
                <w:color w:val="000000"/>
                <w:kern w:val="0"/>
                <w:sz w:val="20"/>
                <w:szCs w:val="20"/>
                <w:lang w:eastAsia="en-IN"/>
              </w:rPr>
              <w:t>4.9</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0.106</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Fatigue serverity scale score (Mean</w:t>
            </w:r>
            <w:r w:rsidRPr="00AF7284">
              <w:rPr>
                <w:rFonts w:eastAsia="Times New Roman" w:cs="Times New Roman"/>
                <w:noProof/>
                <w:color w:val="FF0000"/>
                <w:kern w:val="0"/>
                <w:sz w:val="20"/>
                <w:szCs w:val="20"/>
                <w:lang w:eastAsia="en-IN"/>
              </w:rPr>
              <w:t>±</w:t>
            </w:r>
            <w:r w:rsidRPr="00AF7284">
              <w:rPr>
                <w:rFonts w:eastAsia="Times New Roman" w:cs="Times New Roman"/>
                <w:noProof/>
                <w:color w:val="000000"/>
                <w:kern w:val="0"/>
                <w:sz w:val="20"/>
                <w:szCs w:val="20"/>
                <w:lang w:eastAsia="en-IN"/>
              </w:rPr>
              <w:t>SD)</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31.7</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13.6</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38.8</w:t>
            </w:r>
            <w:r w:rsidRPr="00AF7284">
              <w:rPr>
                <w:rFonts w:eastAsia="Times New Roman" w:cs="Times New Roman"/>
                <w:noProof/>
                <w:color w:val="FF0000"/>
                <w:kern w:val="0"/>
                <w:sz w:val="20"/>
                <w:szCs w:val="20"/>
                <w:lang w:eastAsia="en-IN"/>
              </w:rPr>
              <w:t>±</w:t>
            </w:r>
            <w:r w:rsidRPr="00AF7284">
              <w:rPr>
                <w:rFonts w:eastAsia="Times New Roman" w:cs="Times New Roman"/>
                <w:noProof/>
                <w:color w:val="000000"/>
                <w:kern w:val="0"/>
                <w:sz w:val="20"/>
                <w:szCs w:val="20"/>
                <w:lang w:eastAsia="en-IN"/>
              </w:rPr>
              <w:t>13.2</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31.7</w:t>
            </w:r>
            <w:r w:rsidRPr="00AF7284">
              <w:rPr>
                <w:rFonts w:eastAsia="Times New Roman" w:cs="Times New Roman"/>
                <w:noProof/>
                <w:color w:val="FF0000"/>
                <w:kern w:val="0"/>
                <w:sz w:val="20"/>
                <w:szCs w:val="20"/>
                <w:lang w:eastAsia="en-IN"/>
              </w:rPr>
              <w:t>±</w:t>
            </w:r>
            <w:r w:rsidRPr="00AF7284">
              <w:rPr>
                <w:rFonts w:eastAsia="Times New Roman" w:cs="Times New Roman"/>
                <w:noProof/>
                <w:color w:val="000000"/>
                <w:kern w:val="0"/>
                <w:sz w:val="20"/>
                <w:szCs w:val="20"/>
                <w:lang w:eastAsia="en-IN"/>
              </w:rPr>
              <w:t>13.6</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29.5</w:t>
            </w:r>
            <w:r w:rsidRPr="00AF7284">
              <w:rPr>
                <w:rFonts w:eastAsia="Times New Roman" w:cs="Times New Roman"/>
                <w:noProof/>
                <w:color w:val="FF0000"/>
                <w:kern w:val="0"/>
                <w:sz w:val="20"/>
                <w:szCs w:val="20"/>
                <w:lang w:eastAsia="en-IN"/>
              </w:rPr>
              <w:t>±</w:t>
            </w:r>
            <w:r w:rsidRPr="00AF7284">
              <w:rPr>
                <w:rFonts w:eastAsia="Times New Roman" w:cs="Times New Roman"/>
                <w:noProof/>
                <w:color w:val="000000"/>
                <w:kern w:val="0"/>
                <w:sz w:val="20"/>
                <w:szCs w:val="20"/>
                <w:lang w:eastAsia="en-IN"/>
              </w:rPr>
              <w:t>14.2</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0.475</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Race (%)</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0.32</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White</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24 (70.6)</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2 (50.0)</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14 (82.4)</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8 (61.5)</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Black</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6 (17.6)</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2 (50.0)</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2 (11.8)</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2 (15.4)</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Hispanic</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2 (5.9)</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1 (5.9)</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1 (7.7)</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Asian</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2 (5.9)</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2 (15.4)</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Location (%)</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0.162</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Urban</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29 (85.3)</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3 (75.0)</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13 (76.5)</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13 (100.0)</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Rural</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5 (14.7)</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1(25.0)</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4 (23.5)</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noProof/>
                <w:color w:val="000000"/>
                <w:kern w:val="0"/>
                <w:sz w:val="20"/>
                <w:szCs w:val="20"/>
                <w:lang w:eastAsia="en-IN"/>
              </w:rPr>
              <w:t>-</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r>
      <w:tr w:rsidR="00AF7284" w:rsidRPr="00AF7284" w:rsidTr="0058375E">
        <w:trPr>
          <w:trHeight w:val="285"/>
          <w:jc w:val="center"/>
        </w:trPr>
        <w:tc>
          <w:tcPr>
            <w:tcW w:w="9254"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iCs/>
                <w:color w:val="000000"/>
                <w:kern w:val="0"/>
                <w:sz w:val="20"/>
                <w:szCs w:val="20"/>
                <w:lang w:eastAsia="en-IN"/>
              </w:rPr>
              <w:t>SBP</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7611CC" w:rsidP="007611CC">
            <w:pPr>
              <w:jc w:val="center"/>
              <w:rPr>
                <w:rFonts w:eastAsia="Times New Roman" w:cs="Times New Roman"/>
                <w:color w:val="000000"/>
                <w:kern w:val="0"/>
                <w:sz w:val="20"/>
                <w:szCs w:val="20"/>
                <w:lang w:val="en-IN" w:eastAsia="en-IN"/>
              </w:rPr>
            </w:pPr>
            <w:r w:rsidRPr="007611CC">
              <w:rPr>
                <w:rFonts w:eastAsia="Times New Roman" w:cs="Times New Roman"/>
                <w:color w:val="FF0000"/>
                <w:kern w:val="0"/>
                <w:sz w:val="20"/>
                <w:szCs w:val="20"/>
                <w:vertAlign w:val="superscript"/>
                <w:lang w:eastAsia="en-IN"/>
              </w:rPr>
              <w:t>c</w:t>
            </w:r>
            <w:r w:rsidR="00AF7284" w:rsidRPr="00AF7284">
              <w:rPr>
                <w:rFonts w:eastAsia="Times New Roman" w:cs="Times New Roman"/>
                <w:color w:val="000000"/>
                <w:kern w:val="0"/>
                <w:sz w:val="20"/>
                <w:szCs w:val="20"/>
                <w:lang w:eastAsia="en-IN"/>
              </w:rPr>
              <w:t>Office BP</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119.3</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16.3</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132.3</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15.3</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114.6</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9.8</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121.2</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22.5</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0.033*</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ABP-24hours</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117.8</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9.8</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127.9</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12.6</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116.7</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9.4</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116.1</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8.1</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0.139</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ABP-day</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120.3</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10.9</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130.4</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13.9</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120.0</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10.9</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117.7</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9.1</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0.267</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ABP-night</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107.2</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9.0</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117.6</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13.0</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105.7</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7.0</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106.1</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8.6</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0.189</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ARV</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9.5</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2.5</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10.2</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2.1</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9.7</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3.0</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9.1</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1.8</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0.667</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lastRenderedPageBreak/>
              <w:t>SV</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12.7</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3.4</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14.1</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3.2</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12.9</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4.2</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12.0</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2.1</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0.581</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SD</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12.1</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3.4</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13.3</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3.3</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12.3</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4.1</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11.5</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2.5</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0.595</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COV</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10.2</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2.5</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10.3</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2.2</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10.4</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3.1</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9.9</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1.8</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0.884</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wSD</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10.2</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2.6</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11.7</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2.1</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10.2</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3.0</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9.8</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2.2</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0.314</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Dipping</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&lt;10%</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13 (38.2)</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 (25.0)</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6 (35.3)</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6 (46.2)</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0.699</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10%</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21 (61.8)</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3 (75.0)</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11 (64.7)</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7 (53.8)</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r>
      <w:tr w:rsidR="00AF7284" w:rsidRPr="00AF7284" w:rsidTr="0058375E">
        <w:trPr>
          <w:trHeight w:val="285"/>
          <w:jc w:val="center"/>
        </w:trPr>
        <w:tc>
          <w:tcPr>
            <w:tcW w:w="9254"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iCs/>
                <w:color w:val="000000"/>
                <w:kern w:val="0"/>
                <w:sz w:val="20"/>
                <w:szCs w:val="20"/>
                <w:lang w:eastAsia="en-IN"/>
              </w:rPr>
              <w:t>DBP</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Office BP*</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70.4</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14.6</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79.0</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3.8</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71.7</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12.8</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64.4</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18.7</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ABP-24hours</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73.3</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7.0</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79.1±6.6</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73.0</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6.4</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71.8</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7.5</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0.206</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ABP-day</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76.1</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7.7</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81.8</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7.1</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76.3</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7.1</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74.2</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8.1</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0.236</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ABP-night</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62.0</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6.4</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68.1</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7.4</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61.4</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5.6</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60.8</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6.6</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0.398</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ARV</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8.5</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2.0</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8.8</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1.7</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8.9</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2.4</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7.8</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1.1</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0.514</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SV</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11.1</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2.8</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11.8</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2.8</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11.6</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3.6</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10.2</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1.3</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0.631</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SD</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11.1</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2.2</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11.3</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1.8</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11.5</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2.5</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10.5</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1.9</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0.453</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COV</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15.3</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3.4</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14.3</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2.6</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15.9</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4.1</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14.7</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2.4</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0.807</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wSD</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9.0</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2.1</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9.8</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0.9</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9.3</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2.6</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8.4</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1.8</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0.232</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Dipping</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&lt;10%</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6 (17.6)</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 (25.0)</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2 (11.8)</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3 (23.1)</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0.842</w:t>
            </w:r>
          </w:p>
        </w:tc>
      </w:tr>
      <w:tr w:rsidR="00AF7284" w:rsidRPr="00AF7284" w:rsidTr="0058375E">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10%</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28 (82.4)</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3 (75.0)</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15 (88.2)</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10 (35.7)</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p>
        </w:tc>
      </w:tr>
      <w:tr w:rsidR="00AF7284" w:rsidRPr="00AF7284" w:rsidTr="0058375E">
        <w:trPr>
          <w:trHeight w:val="285"/>
          <w:jc w:val="center"/>
        </w:trPr>
        <w:tc>
          <w:tcPr>
            <w:tcW w:w="9254"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ABP measures of arterial stiffness</w:t>
            </w:r>
          </w:p>
        </w:tc>
      </w:tr>
      <w:tr w:rsidR="00AF7284" w:rsidRPr="00AF7284" w:rsidTr="0058375E">
        <w:trPr>
          <w:trHeight w:val="132"/>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010D18"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A</w:t>
            </w:r>
            <w:r>
              <w:rPr>
                <w:rFonts w:eastAsia="Times New Roman" w:cs="Times New Roman"/>
                <w:color w:val="000000"/>
                <w:kern w:val="0"/>
                <w:sz w:val="20"/>
                <w:szCs w:val="20"/>
                <w:lang w:eastAsia="en-IN"/>
              </w:rPr>
              <w:t>I</w:t>
            </w:r>
            <w:r w:rsidRPr="00AF7284">
              <w:rPr>
                <w:rFonts w:eastAsia="Times New Roman" w:cs="Times New Roman"/>
                <w:color w:val="000000"/>
                <w:kern w:val="0"/>
                <w:sz w:val="20"/>
                <w:szCs w:val="20"/>
                <w:lang w:eastAsia="en-IN"/>
              </w:rPr>
              <w:t>x</w:t>
            </w:r>
            <w:r>
              <w:rPr>
                <w:rFonts w:eastAsia="Times New Roman" w:cs="Times New Roman"/>
                <w:color w:val="000000"/>
                <w:kern w:val="0"/>
                <w:sz w:val="20"/>
                <w:szCs w:val="20"/>
                <w:lang w:eastAsia="en-IN"/>
              </w:rPr>
              <w:t>@</w:t>
            </w:r>
            <w:r w:rsidRPr="00AF7284">
              <w:rPr>
                <w:rFonts w:eastAsia="Times New Roman" w:cs="Times New Roman"/>
                <w:color w:val="000000"/>
                <w:kern w:val="0"/>
                <w:sz w:val="20"/>
                <w:szCs w:val="20"/>
                <w:lang w:eastAsia="en-IN"/>
              </w:rPr>
              <w:t>75</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22.9</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7.1</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26.8</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10.4</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20.9</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6.0</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24.2</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7.2</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0.219</w:t>
            </w:r>
          </w:p>
        </w:tc>
      </w:tr>
      <w:tr w:rsidR="00AF7284" w:rsidRPr="00AF7284" w:rsidTr="0058375E">
        <w:trPr>
          <w:trHeight w:val="231"/>
          <w:jc w:val="center"/>
        </w:trPr>
        <w:tc>
          <w:tcPr>
            <w:tcW w:w="2264" w:type="dxa"/>
            <w:tcBorders>
              <w:top w:val="nil"/>
              <w:left w:val="single" w:sz="4" w:space="0" w:color="auto"/>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PWV</w:t>
            </w:r>
          </w:p>
        </w:tc>
        <w:tc>
          <w:tcPr>
            <w:tcW w:w="135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6.2</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1.3</w:t>
            </w:r>
          </w:p>
        </w:tc>
        <w:tc>
          <w:tcPr>
            <w:tcW w:w="1534"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8.0</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1.1</w:t>
            </w:r>
          </w:p>
        </w:tc>
        <w:tc>
          <w:tcPr>
            <w:tcW w:w="1363"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6.0</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1.3</w:t>
            </w:r>
          </w:p>
        </w:tc>
        <w:tc>
          <w:tcPr>
            <w:tcW w:w="1237"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5.7</w:t>
            </w:r>
            <w:r w:rsidRPr="00AF7284">
              <w:rPr>
                <w:rFonts w:eastAsia="Times New Roman" w:cs="Times New Roman"/>
                <w:color w:val="FF0000"/>
                <w:kern w:val="0"/>
                <w:sz w:val="20"/>
                <w:szCs w:val="20"/>
                <w:lang w:eastAsia="en-IN"/>
              </w:rPr>
              <w:t>±</w:t>
            </w:r>
            <w:r w:rsidRPr="00AF7284">
              <w:rPr>
                <w:rFonts w:eastAsia="Times New Roman" w:cs="Times New Roman"/>
                <w:color w:val="000000"/>
                <w:kern w:val="0"/>
                <w:sz w:val="20"/>
                <w:szCs w:val="20"/>
                <w:lang w:eastAsia="en-IN"/>
              </w:rPr>
              <w:t>1.0</w:t>
            </w:r>
          </w:p>
        </w:tc>
        <w:tc>
          <w:tcPr>
            <w:tcW w:w="1501" w:type="dxa"/>
            <w:tcBorders>
              <w:top w:val="nil"/>
              <w:left w:val="nil"/>
              <w:bottom w:val="single" w:sz="4" w:space="0" w:color="auto"/>
              <w:right w:val="single" w:sz="4" w:space="0" w:color="auto"/>
            </w:tcBorders>
            <w:shd w:val="clear" w:color="auto" w:fill="auto"/>
            <w:noWrap/>
            <w:hideMark/>
          </w:tcPr>
          <w:p w:rsidR="00AF7284" w:rsidRPr="00AF7284" w:rsidRDefault="00AF7284" w:rsidP="00AF7284">
            <w:pPr>
              <w:jc w:val="center"/>
              <w:rPr>
                <w:rFonts w:eastAsia="Times New Roman" w:cs="Times New Roman"/>
                <w:color w:val="000000"/>
                <w:kern w:val="0"/>
                <w:sz w:val="20"/>
                <w:szCs w:val="20"/>
                <w:lang w:val="en-IN" w:eastAsia="en-IN"/>
              </w:rPr>
            </w:pPr>
            <w:r w:rsidRPr="00AF7284">
              <w:rPr>
                <w:rFonts w:eastAsia="Times New Roman" w:cs="Times New Roman"/>
                <w:color w:val="000000"/>
                <w:kern w:val="0"/>
                <w:sz w:val="20"/>
                <w:szCs w:val="20"/>
                <w:lang w:eastAsia="en-IN"/>
              </w:rPr>
              <w:t>0.030*</w:t>
            </w:r>
          </w:p>
        </w:tc>
      </w:tr>
      <w:tr w:rsidR="00AF7284" w:rsidRPr="00AF7284" w:rsidTr="0058375E">
        <w:trPr>
          <w:trHeight w:val="285"/>
          <w:jc w:val="center"/>
        </w:trPr>
        <w:tc>
          <w:tcPr>
            <w:tcW w:w="9254" w:type="dxa"/>
            <w:gridSpan w:val="6"/>
            <w:tcBorders>
              <w:top w:val="single" w:sz="4" w:space="0" w:color="auto"/>
              <w:left w:val="single" w:sz="4" w:space="0" w:color="auto"/>
              <w:bottom w:val="single" w:sz="4" w:space="0" w:color="auto"/>
              <w:right w:val="single" w:sz="4" w:space="0" w:color="auto"/>
            </w:tcBorders>
            <w:shd w:val="clear" w:color="auto" w:fill="auto"/>
            <w:hideMark/>
          </w:tcPr>
          <w:p w:rsidR="00AF7284" w:rsidRDefault="00AF7284" w:rsidP="00F4630B">
            <w:pPr>
              <w:jc w:val="center"/>
              <w:rPr>
                <w:rFonts w:eastAsia="Times New Roman" w:cs="Times New Roman"/>
                <w:color w:val="000000"/>
                <w:kern w:val="0"/>
                <w:sz w:val="20"/>
                <w:szCs w:val="20"/>
                <w:lang w:val="en-IN" w:eastAsia="en-IN"/>
              </w:rPr>
            </w:pPr>
            <w:r w:rsidRPr="00704FAB">
              <w:rPr>
                <w:rFonts w:eastAsia="Times New Roman" w:cs="Times New Roman"/>
                <w:color w:val="FF0000"/>
                <w:kern w:val="0"/>
                <w:sz w:val="20"/>
                <w:szCs w:val="20"/>
                <w:vertAlign w:val="superscript"/>
                <w:lang w:val="en-IN" w:eastAsia="en-IN"/>
              </w:rPr>
              <w:t>a</w:t>
            </w:r>
            <w:r w:rsidRPr="00AF7284">
              <w:rPr>
                <w:rFonts w:eastAsia="Times New Roman" w:cs="Times New Roman"/>
                <w:color w:val="000000"/>
                <w:kern w:val="0"/>
                <w:sz w:val="20"/>
                <w:szCs w:val="20"/>
                <w:lang w:val="en-IN" w:eastAsia="en-IN"/>
              </w:rPr>
              <w:t>missing=</w:t>
            </w:r>
            <w:r w:rsidR="00A6025C">
              <w:rPr>
                <w:rFonts w:eastAsia="Times New Roman" w:cs="Times New Roman"/>
                <w:color w:val="000000"/>
                <w:kern w:val="0"/>
                <w:sz w:val="20"/>
                <w:szCs w:val="20"/>
                <w:lang w:val="en-IN" w:eastAsia="en-IN"/>
              </w:rPr>
              <w:t xml:space="preserve">2; </w:t>
            </w:r>
            <w:r w:rsidR="00A6025C" w:rsidRPr="00704FAB">
              <w:rPr>
                <w:rFonts w:eastAsia="Times New Roman" w:cs="Times New Roman"/>
                <w:color w:val="FF0000"/>
                <w:kern w:val="0"/>
                <w:sz w:val="20"/>
                <w:szCs w:val="20"/>
                <w:vertAlign w:val="superscript"/>
                <w:lang w:val="en-IN" w:eastAsia="en-IN"/>
              </w:rPr>
              <w:t>b</w:t>
            </w:r>
            <w:r w:rsidR="00A6025C">
              <w:rPr>
                <w:rFonts w:eastAsia="Times New Roman" w:cs="Times New Roman"/>
                <w:color w:val="000000"/>
                <w:kern w:val="0"/>
                <w:sz w:val="20"/>
                <w:szCs w:val="20"/>
                <w:lang w:val="en-IN" w:eastAsia="en-IN"/>
              </w:rPr>
              <w:t xml:space="preserve">missing=4 ; </w:t>
            </w:r>
            <w:r w:rsidR="00A6025C" w:rsidRPr="00704FAB">
              <w:rPr>
                <w:rFonts w:eastAsia="Times New Roman" w:cs="Times New Roman"/>
                <w:color w:val="FF0000"/>
                <w:kern w:val="0"/>
                <w:sz w:val="20"/>
                <w:szCs w:val="20"/>
                <w:vertAlign w:val="superscript"/>
                <w:lang w:val="en-IN" w:eastAsia="en-IN"/>
              </w:rPr>
              <w:t>c</w:t>
            </w:r>
            <w:r w:rsidR="00A6025C">
              <w:rPr>
                <w:rFonts w:eastAsia="Times New Roman" w:cs="Times New Roman"/>
                <w:color w:val="000000"/>
                <w:kern w:val="0"/>
                <w:sz w:val="20"/>
                <w:szCs w:val="20"/>
                <w:lang w:val="en-IN" w:eastAsia="en-IN"/>
              </w:rPr>
              <w:t>missing=</w:t>
            </w:r>
            <w:r w:rsidRPr="00AF7284">
              <w:rPr>
                <w:rFonts w:eastAsia="Times New Roman" w:cs="Times New Roman"/>
                <w:color w:val="000000"/>
                <w:kern w:val="0"/>
                <w:sz w:val="20"/>
                <w:szCs w:val="20"/>
                <w:lang w:val="en-IN" w:eastAsia="en-IN"/>
              </w:rPr>
              <w:t>6</w:t>
            </w:r>
            <w:r w:rsidR="00F4630B">
              <w:rPr>
                <w:rFonts w:eastAsia="Times New Roman" w:cs="Times New Roman"/>
                <w:color w:val="000000"/>
                <w:kern w:val="0"/>
                <w:sz w:val="20"/>
                <w:szCs w:val="20"/>
                <w:lang w:val="en-IN" w:eastAsia="en-IN"/>
              </w:rPr>
              <w:t xml:space="preserve"> ; </w:t>
            </w:r>
            <w:r w:rsidRPr="00AF7284">
              <w:rPr>
                <w:rFonts w:eastAsia="Times New Roman" w:cs="Times New Roman"/>
                <w:color w:val="000000"/>
                <w:kern w:val="0"/>
                <w:sz w:val="20"/>
                <w:szCs w:val="20"/>
                <w:lang w:val="en-IN" w:eastAsia="en-IN"/>
              </w:rPr>
              <w:t>*p &lt; 0.05</w:t>
            </w:r>
          </w:p>
          <w:p w:rsidR="00170A81" w:rsidRPr="00AF7284" w:rsidRDefault="00170A81" w:rsidP="00F4630B">
            <w:pPr>
              <w:jc w:val="center"/>
              <w:rPr>
                <w:rFonts w:eastAsia="Times New Roman" w:cs="Times New Roman"/>
                <w:color w:val="000000"/>
                <w:kern w:val="0"/>
                <w:sz w:val="20"/>
                <w:szCs w:val="20"/>
                <w:lang w:val="en-IN" w:eastAsia="en-IN"/>
              </w:rPr>
            </w:pPr>
            <w:r>
              <w:rPr>
                <w:rFonts w:eastAsia="Times New Roman" w:cs="Times New Roman"/>
                <w:color w:val="000000"/>
                <w:kern w:val="0"/>
                <w:sz w:val="20"/>
                <w:szCs w:val="20"/>
                <w:lang w:val="en-IN" w:eastAsia="en-IN"/>
              </w:rPr>
              <w:t>m= mean; SD= standard deviation, BP = blood pressure; ABP = ambulatory blood pressure; ARV= average real variability; SV= successive variation; wSD = weighted standard deviation; AIx@75= augmentation index at heart rate of 75 beat per minute; PWV = pulse wave velocity.</w:t>
            </w:r>
          </w:p>
        </w:tc>
      </w:tr>
    </w:tbl>
    <w:p w:rsidR="00D26C69" w:rsidRDefault="00D26C69" w:rsidP="001C35B6">
      <w:pPr>
        <w:contextualSpacing/>
        <w:mirrorIndents/>
        <w:jc w:val="both"/>
        <w:rPr>
          <w:rFonts w:cs="Times New Roman"/>
          <w:sz w:val="20"/>
          <w:szCs w:val="20"/>
        </w:rPr>
      </w:pPr>
    </w:p>
    <w:p w:rsidR="002C761F" w:rsidRDefault="009B0DAB" w:rsidP="001C35B6">
      <w:pPr>
        <w:contextualSpacing/>
        <w:mirrorIndents/>
        <w:jc w:val="both"/>
        <w:rPr>
          <w:rFonts w:cs="Times New Roman"/>
          <w:sz w:val="20"/>
          <w:szCs w:val="20"/>
        </w:rPr>
      </w:pPr>
      <w:r w:rsidRPr="009B0DAB">
        <w:rPr>
          <w:rFonts w:cs="Times New Roman"/>
          <w:b/>
          <w:sz w:val="20"/>
          <w:szCs w:val="20"/>
        </w:rPr>
        <w:t xml:space="preserve">Table 1: </w:t>
      </w:r>
      <w:r w:rsidRPr="001C35B6">
        <w:rPr>
          <w:rFonts w:cs="Times New Roman"/>
          <w:sz w:val="20"/>
          <w:szCs w:val="20"/>
        </w:rPr>
        <w:t>Summary of selected demographics, anthropometric measurements, fatigue score, ambulatory blood pressure profiles, and ambulatory blood pressure variability indices, by COVID-19 diagnosis and hospitalization status</w:t>
      </w:r>
      <w:r w:rsidRPr="001C35B6">
        <w:rPr>
          <w:rFonts w:cs="Times New Roman"/>
          <w:kern w:val="0"/>
          <w:sz w:val="20"/>
          <w:szCs w:val="20"/>
        </w:rPr>
        <w:t>.</w:t>
      </w:r>
    </w:p>
    <w:p w:rsidR="006C163D" w:rsidRDefault="006C163D" w:rsidP="002C761F">
      <w:pPr>
        <w:jc w:val="both"/>
        <w:rPr>
          <w:rFonts w:cs="Times New Roman"/>
          <w:sz w:val="20"/>
          <w:szCs w:val="20"/>
        </w:rPr>
      </w:pPr>
    </w:p>
    <w:p w:rsidR="00ED7530" w:rsidRDefault="00442750" w:rsidP="007E200C">
      <w:pPr>
        <w:jc w:val="center"/>
        <w:rPr>
          <w:rFonts w:cs="Times New Roman"/>
          <w:sz w:val="20"/>
          <w:szCs w:val="20"/>
        </w:rPr>
      </w:pPr>
      <w:r w:rsidRPr="00442750">
        <w:rPr>
          <w:rFonts w:cs="Times New Roman"/>
          <w:noProof/>
          <w:sz w:val="20"/>
          <w:szCs w:val="20"/>
          <w:lang w:val="en-AU" w:eastAsia="en-AU"/>
        </w:rPr>
        <w:drawing>
          <wp:inline distT="0" distB="0" distL="0" distR="0">
            <wp:extent cx="3473450" cy="2197100"/>
            <wp:effectExtent l="0" t="0" r="0" b="0"/>
            <wp:docPr id="10" name="Picture 10" descr="E:\Office  Work\Author Proofs\IJNHCS-2024-390\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ffice  Work\Author Proofs\IJNHCS-2024-390\fig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1534" cy="2208539"/>
                    </a:xfrm>
                    <a:prstGeom prst="rect">
                      <a:avLst/>
                    </a:prstGeom>
                    <a:noFill/>
                    <a:ln>
                      <a:noFill/>
                    </a:ln>
                  </pic:spPr>
                </pic:pic>
              </a:graphicData>
            </a:graphic>
          </wp:inline>
        </w:drawing>
      </w:r>
    </w:p>
    <w:p w:rsidR="007E200C" w:rsidRPr="006C163D" w:rsidRDefault="007E200C" w:rsidP="007E200C">
      <w:pPr>
        <w:jc w:val="center"/>
        <w:rPr>
          <w:rFonts w:cs="Times New Roman"/>
          <w:sz w:val="20"/>
          <w:szCs w:val="20"/>
        </w:rPr>
      </w:pPr>
    </w:p>
    <w:p w:rsidR="002C761F" w:rsidRPr="002C761F" w:rsidRDefault="002C761F" w:rsidP="002C761F">
      <w:pPr>
        <w:jc w:val="both"/>
        <w:rPr>
          <w:rFonts w:cs="Times New Roman"/>
          <w:sz w:val="20"/>
          <w:szCs w:val="20"/>
        </w:rPr>
      </w:pPr>
      <w:r w:rsidRPr="002C761F">
        <w:rPr>
          <w:rFonts w:cs="Times New Roman"/>
          <w:b/>
          <w:sz w:val="20"/>
          <w:szCs w:val="20"/>
        </w:rPr>
        <w:t>Figure 1:</w:t>
      </w:r>
      <w:r w:rsidRPr="002C761F">
        <w:rPr>
          <w:rFonts w:cs="Times New Roman"/>
          <w:sz w:val="20"/>
          <w:szCs w:val="20"/>
        </w:rPr>
        <w:t xml:space="preserve"> Percentage of patient-reported COVID-19 related symptoms at the time of COVID-19 diagnosis by hospitalization status.</w:t>
      </w:r>
    </w:p>
    <w:p w:rsidR="00A60ADF" w:rsidRDefault="00A60ADF" w:rsidP="00A60ADF">
      <w:pPr>
        <w:contextualSpacing/>
        <w:mirrorIndents/>
        <w:jc w:val="both"/>
        <w:rPr>
          <w:rFonts w:cs="Times New Roman"/>
          <w:sz w:val="20"/>
          <w:szCs w:val="20"/>
        </w:rPr>
      </w:pPr>
    </w:p>
    <w:p w:rsidR="0023673F" w:rsidRDefault="0068325A" w:rsidP="0068325A">
      <w:pPr>
        <w:contextualSpacing/>
        <w:mirrorIndents/>
        <w:jc w:val="center"/>
        <w:rPr>
          <w:rFonts w:cs="Times New Roman"/>
          <w:sz w:val="20"/>
          <w:szCs w:val="20"/>
        </w:rPr>
      </w:pPr>
      <w:r w:rsidRPr="0068325A">
        <w:rPr>
          <w:rFonts w:cs="Times New Roman"/>
          <w:noProof/>
          <w:sz w:val="20"/>
          <w:szCs w:val="20"/>
          <w:lang w:val="en-AU" w:eastAsia="en-AU"/>
        </w:rPr>
        <w:drawing>
          <wp:inline distT="0" distB="0" distL="0" distR="0">
            <wp:extent cx="2950633" cy="1825921"/>
            <wp:effectExtent l="0" t="0" r="2540" b="3175"/>
            <wp:docPr id="11" name="Picture 11" descr="E:\Office  Work\Author Proofs\IJNHCS-2024-390\fig 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Office  Work\Author Proofs\IJNHCS-2024-390\fig 2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9634" cy="1831491"/>
                    </a:xfrm>
                    <a:prstGeom prst="rect">
                      <a:avLst/>
                    </a:prstGeom>
                    <a:noFill/>
                    <a:ln>
                      <a:noFill/>
                    </a:ln>
                  </pic:spPr>
                </pic:pic>
              </a:graphicData>
            </a:graphic>
          </wp:inline>
        </w:drawing>
      </w:r>
    </w:p>
    <w:p w:rsidR="006912B9" w:rsidRDefault="006912B9" w:rsidP="00A60ADF">
      <w:pPr>
        <w:contextualSpacing/>
        <w:mirrorIndents/>
        <w:jc w:val="both"/>
        <w:rPr>
          <w:rFonts w:cs="Times New Roman"/>
          <w:sz w:val="20"/>
          <w:szCs w:val="20"/>
        </w:rPr>
      </w:pPr>
    </w:p>
    <w:p w:rsidR="00A60ADF" w:rsidRPr="001C35B6" w:rsidRDefault="00A60ADF" w:rsidP="00A60ADF">
      <w:pPr>
        <w:contextualSpacing/>
        <w:mirrorIndents/>
        <w:jc w:val="both"/>
        <w:rPr>
          <w:rFonts w:cs="Times New Roman"/>
          <w:sz w:val="20"/>
          <w:szCs w:val="20"/>
        </w:rPr>
      </w:pPr>
      <w:r w:rsidRPr="00A60ADF">
        <w:rPr>
          <w:rFonts w:cs="Times New Roman"/>
          <w:b/>
          <w:sz w:val="20"/>
          <w:szCs w:val="20"/>
        </w:rPr>
        <w:t>Figure 2a:</w:t>
      </w:r>
      <w:r w:rsidRPr="001C35B6">
        <w:rPr>
          <w:rFonts w:cs="Times New Roman"/>
          <w:sz w:val="20"/>
          <w:szCs w:val="20"/>
        </w:rPr>
        <w:t xml:space="preserve"> Distrib</w:t>
      </w:r>
      <w:r w:rsidR="005B46D3">
        <w:rPr>
          <w:rFonts w:cs="Times New Roman"/>
          <w:sz w:val="20"/>
          <w:szCs w:val="20"/>
        </w:rPr>
        <w:t>ution of hourly peripheral SBP by</w:t>
      </w:r>
      <w:r w:rsidRPr="001C35B6">
        <w:rPr>
          <w:rFonts w:cs="Times New Roman"/>
          <w:sz w:val="20"/>
          <w:szCs w:val="20"/>
        </w:rPr>
        <w:t xml:space="preserve"> COVID-19 diagnosis/hospitalization status during a 24-hour ABP measurement cycle.</w:t>
      </w:r>
    </w:p>
    <w:p w:rsidR="00A60ADF" w:rsidRDefault="00A60ADF" w:rsidP="002E28FF">
      <w:pPr>
        <w:contextualSpacing/>
        <w:mirrorIndents/>
        <w:jc w:val="both"/>
        <w:rPr>
          <w:rFonts w:cs="Times New Roman"/>
          <w:sz w:val="20"/>
          <w:szCs w:val="20"/>
        </w:rPr>
      </w:pPr>
    </w:p>
    <w:p w:rsidR="009163BB" w:rsidRDefault="004E511C" w:rsidP="004E511C">
      <w:pPr>
        <w:contextualSpacing/>
        <w:mirrorIndents/>
        <w:jc w:val="center"/>
        <w:rPr>
          <w:rFonts w:cs="Times New Roman"/>
          <w:sz w:val="20"/>
          <w:szCs w:val="20"/>
        </w:rPr>
      </w:pPr>
      <w:r w:rsidRPr="004E511C">
        <w:rPr>
          <w:rFonts w:cs="Times New Roman"/>
          <w:noProof/>
          <w:sz w:val="20"/>
          <w:szCs w:val="20"/>
          <w:lang w:val="en-AU" w:eastAsia="en-AU"/>
        </w:rPr>
        <w:drawing>
          <wp:inline distT="0" distB="0" distL="0" distR="0">
            <wp:extent cx="3056466" cy="1710055"/>
            <wp:effectExtent l="0" t="0" r="0" b="4445"/>
            <wp:docPr id="12" name="Picture 12" descr="E:\Office  Work\Author Proofs\IJNHCS-2024-390\fig 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Office  Work\Author Proofs\IJNHCS-2024-390\fig 2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3620" cy="1719653"/>
                    </a:xfrm>
                    <a:prstGeom prst="rect">
                      <a:avLst/>
                    </a:prstGeom>
                    <a:noFill/>
                    <a:ln>
                      <a:noFill/>
                    </a:ln>
                  </pic:spPr>
                </pic:pic>
              </a:graphicData>
            </a:graphic>
          </wp:inline>
        </w:drawing>
      </w:r>
    </w:p>
    <w:p w:rsidR="009163BB" w:rsidRDefault="009163BB" w:rsidP="002E28FF">
      <w:pPr>
        <w:contextualSpacing/>
        <w:mirrorIndents/>
        <w:jc w:val="both"/>
        <w:rPr>
          <w:rFonts w:cs="Times New Roman"/>
          <w:sz w:val="20"/>
          <w:szCs w:val="20"/>
        </w:rPr>
      </w:pPr>
    </w:p>
    <w:p w:rsidR="00A60ADF" w:rsidRDefault="00A60ADF" w:rsidP="002E28FF">
      <w:pPr>
        <w:contextualSpacing/>
        <w:mirrorIndents/>
        <w:jc w:val="both"/>
        <w:rPr>
          <w:rFonts w:cs="Times New Roman"/>
          <w:sz w:val="20"/>
          <w:szCs w:val="20"/>
        </w:rPr>
      </w:pPr>
      <w:r w:rsidRPr="00A60ADF">
        <w:rPr>
          <w:rFonts w:cs="Times New Roman"/>
          <w:b/>
          <w:sz w:val="20"/>
          <w:szCs w:val="20"/>
        </w:rPr>
        <w:t>Figure 2b:</w:t>
      </w:r>
      <w:r w:rsidRPr="00A60ADF">
        <w:rPr>
          <w:rFonts w:cs="Times New Roman"/>
          <w:sz w:val="20"/>
          <w:szCs w:val="20"/>
        </w:rPr>
        <w:t xml:space="preserve"> Distribution of hourly peripheral DBP by COVID-19 diagnosis/hospitalization status during a 24-hour ABP measurement cycle.</w:t>
      </w:r>
    </w:p>
    <w:p w:rsidR="004C5777" w:rsidRDefault="004C5777" w:rsidP="002E28FF">
      <w:pPr>
        <w:contextualSpacing/>
        <w:mirrorIndents/>
        <w:jc w:val="both"/>
        <w:rPr>
          <w:rFonts w:cs="Times New Roman"/>
          <w:sz w:val="20"/>
          <w:szCs w:val="20"/>
        </w:rPr>
      </w:pPr>
    </w:p>
    <w:p w:rsidR="004C5777" w:rsidRDefault="008C6D6A" w:rsidP="008C6D6A">
      <w:pPr>
        <w:contextualSpacing/>
        <w:mirrorIndents/>
        <w:jc w:val="center"/>
        <w:rPr>
          <w:rFonts w:cs="Times New Roman"/>
          <w:sz w:val="20"/>
          <w:szCs w:val="20"/>
        </w:rPr>
      </w:pPr>
      <w:r w:rsidRPr="008C6D6A">
        <w:rPr>
          <w:rFonts w:cs="Times New Roman"/>
          <w:noProof/>
          <w:sz w:val="20"/>
          <w:szCs w:val="20"/>
          <w:lang w:val="en-AU" w:eastAsia="en-AU"/>
        </w:rPr>
        <w:drawing>
          <wp:inline distT="0" distB="0" distL="0" distR="0">
            <wp:extent cx="3331549" cy="1896533"/>
            <wp:effectExtent l="0" t="0" r="2540" b="8890"/>
            <wp:docPr id="13" name="Picture 13" descr="E:\Office  Work\Author Proofs\IJNHCS-2024-390\fig 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Office  Work\Author Proofs\IJNHCS-2024-390\fig 2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1603" cy="1913642"/>
                    </a:xfrm>
                    <a:prstGeom prst="rect">
                      <a:avLst/>
                    </a:prstGeom>
                    <a:noFill/>
                    <a:ln>
                      <a:noFill/>
                    </a:ln>
                  </pic:spPr>
                </pic:pic>
              </a:graphicData>
            </a:graphic>
          </wp:inline>
        </w:drawing>
      </w:r>
    </w:p>
    <w:p w:rsidR="00A60ADF" w:rsidRDefault="00A60ADF" w:rsidP="002E28FF">
      <w:pPr>
        <w:contextualSpacing/>
        <w:mirrorIndents/>
        <w:jc w:val="both"/>
        <w:rPr>
          <w:rFonts w:cs="Times New Roman"/>
          <w:sz w:val="20"/>
          <w:szCs w:val="20"/>
        </w:rPr>
      </w:pPr>
    </w:p>
    <w:p w:rsidR="002E28FF" w:rsidRDefault="00A60ADF" w:rsidP="002E28FF">
      <w:pPr>
        <w:contextualSpacing/>
        <w:mirrorIndents/>
        <w:jc w:val="both"/>
        <w:rPr>
          <w:rFonts w:cs="Times New Roman"/>
          <w:sz w:val="20"/>
          <w:szCs w:val="20"/>
        </w:rPr>
      </w:pPr>
      <w:r w:rsidRPr="00A60ADF">
        <w:rPr>
          <w:rFonts w:cs="Times New Roman"/>
          <w:b/>
          <w:sz w:val="20"/>
          <w:szCs w:val="20"/>
        </w:rPr>
        <w:t>Figure 2c:</w:t>
      </w:r>
      <w:r>
        <w:rPr>
          <w:rFonts w:cs="Times New Roman"/>
          <w:sz w:val="20"/>
          <w:szCs w:val="20"/>
        </w:rPr>
        <w:t xml:space="preserve"> </w:t>
      </w:r>
      <w:r w:rsidRPr="001C35B6">
        <w:rPr>
          <w:rFonts w:cs="Times New Roman"/>
          <w:sz w:val="20"/>
          <w:szCs w:val="20"/>
        </w:rPr>
        <w:t xml:space="preserve">Distribution of hourly peripheral </w:t>
      </w:r>
      <w:r w:rsidR="005B46D3">
        <w:rPr>
          <w:rFonts w:cs="Times New Roman"/>
          <w:sz w:val="20"/>
          <w:szCs w:val="20"/>
        </w:rPr>
        <w:t xml:space="preserve">cDBP </w:t>
      </w:r>
      <w:r w:rsidRPr="001C35B6">
        <w:rPr>
          <w:rFonts w:cs="Times New Roman"/>
          <w:sz w:val="20"/>
          <w:szCs w:val="20"/>
        </w:rPr>
        <w:t>by COVID-19 diagnosis/hospitalization status during a 24-hour ABP measurement cycle.</w:t>
      </w:r>
    </w:p>
    <w:p w:rsidR="00F66268" w:rsidRDefault="00F66268" w:rsidP="002E28FF">
      <w:pPr>
        <w:contextualSpacing/>
        <w:mirrorIndents/>
        <w:jc w:val="both"/>
        <w:rPr>
          <w:rFonts w:cs="Times New Roman"/>
          <w:sz w:val="20"/>
          <w:szCs w:val="20"/>
        </w:rPr>
      </w:pPr>
    </w:p>
    <w:p w:rsidR="00F66268" w:rsidRDefault="00981367" w:rsidP="00981367">
      <w:pPr>
        <w:contextualSpacing/>
        <w:mirrorIndents/>
        <w:jc w:val="center"/>
        <w:rPr>
          <w:rFonts w:cs="Times New Roman"/>
          <w:sz w:val="20"/>
          <w:szCs w:val="20"/>
        </w:rPr>
      </w:pPr>
      <w:r w:rsidRPr="00981367">
        <w:rPr>
          <w:rFonts w:cs="Times New Roman"/>
          <w:noProof/>
          <w:sz w:val="20"/>
          <w:szCs w:val="20"/>
          <w:lang w:val="en-AU" w:eastAsia="en-AU"/>
        </w:rPr>
        <w:drawing>
          <wp:inline distT="0" distB="0" distL="0" distR="0">
            <wp:extent cx="3155758" cy="1735667"/>
            <wp:effectExtent l="0" t="0" r="6985" b="0"/>
            <wp:docPr id="14" name="Picture 14" descr="E:\Office  Work\Author Proofs\IJNHCS-2024-390\fig 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Office  Work\Author Proofs\IJNHCS-2024-390\fig 2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3639" cy="1740002"/>
                    </a:xfrm>
                    <a:prstGeom prst="rect">
                      <a:avLst/>
                    </a:prstGeom>
                    <a:noFill/>
                    <a:ln>
                      <a:noFill/>
                    </a:ln>
                  </pic:spPr>
                </pic:pic>
              </a:graphicData>
            </a:graphic>
          </wp:inline>
        </w:drawing>
      </w:r>
    </w:p>
    <w:p w:rsidR="00AF668B" w:rsidRDefault="00AF668B" w:rsidP="002E28FF">
      <w:pPr>
        <w:contextualSpacing/>
        <w:mirrorIndents/>
        <w:jc w:val="both"/>
        <w:rPr>
          <w:rFonts w:cs="Times New Roman"/>
          <w:sz w:val="20"/>
          <w:szCs w:val="20"/>
        </w:rPr>
      </w:pPr>
    </w:p>
    <w:p w:rsidR="00AF668B" w:rsidRPr="001C35B6" w:rsidRDefault="00AF668B" w:rsidP="002E28FF">
      <w:pPr>
        <w:contextualSpacing/>
        <w:mirrorIndents/>
        <w:jc w:val="both"/>
        <w:rPr>
          <w:rFonts w:cs="Times New Roman"/>
          <w:sz w:val="20"/>
          <w:szCs w:val="20"/>
        </w:rPr>
      </w:pPr>
      <w:r w:rsidRPr="00AF668B">
        <w:rPr>
          <w:rFonts w:cs="Times New Roman"/>
          <w:b/>
          <w:sz w:val="20"/>
          <w:szCs w:val="20"/>
        </w:rPr>
        <w:t>Figure 2d:</w:t>
      </w:r>
      <w:r w:rsidRPr="00AF668B">
        <w:rPr>
          <w:rFonts w:cs="Times New Roman"/>
          <w:sz w:val="20"/>
          <w:szCs w:val="20"/>
        </w:rPr>
        <w:t xml:space="preserve"> Distribution of hourly peripheral cDBP by COVID-19 diagnosis/hospitalization status during a 24-hour ABP measurement cycle.</w:t>
      </w:r>
    </w:p>
    <w:p w:rsidR="00AF668B" w:rsidRDefault="00AF668B" w:rsidP="001C35B6">
      <w:pPr>
        <w:contextualSpacing/>
        <w:mirrorIndents/>
        <w:jc w:val="both"/>
        <w:rPr>
          <w:rFonts w:cs="Times New Roman"/>
          <w:sz w:val="20"/>
          <w:szCs w:val="20"/>
        </w:rPr>
      </w:pPr>
    </w:p>
    <w:p w:rsidR="00ED6DFE" w:rsidRDefault="00F32A0C" w:rsidP="00F32A0C">
      <w:pPr>
        <w:contextualSpacing/>
        <w:mirrorIndents/>
        <w:jc w:val="center"/>
        <w:rPr>
          <w:rFonts w:cs="Times New Roman"/>
          <w:sz w:val="20"/>
          <w:szCs w:val="20"/>
        </w:rPr>
      </w:pPr>
      <w:r w:rsidRPr="00F32A0C">
        <w:rPr>
          <w:rFonts w:cs="Times New Roman"/>
          <w:noProof/>
          <w:sz w:val="20"/>
          <w:szCs w:val="20"/>
          <w:lang w:val="en-AU" w:eastAsia="en-AU"/>
        </w:rPr>
        <w:drawing>
          <wp:inline distT="0" distB="0" distL="0" distR="0">
            <wp:extent cx="3094358" cy="1608667"/>
            <wp:effectExtent l="0" t="0" r="0" b="0"/>
            <wp:docPr id="15" name="Picture 15" descr="E:\Office  Work\Author Proofs\IJNHCS-2024-390\fig 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Office  Work\Author Proofs\IJNHCS-2024-390\fig 2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1901" cy="1622986"/>
                    </a:xfrm>
                    <a:prstGeom prst="rect">
                      <a:avLst/>
                    </a:prstGeom>
                    <a:noFill/>
                    <a:ln>
                      <a:noFill/>
                    </a:ln>
                  </pic:spPr>
                </pic:pic>
              </a:graphicData>
            </a:graphic>
          </wp:inline>
        </w:drawing>
      </w:r>
    </w:p>
    <w:p w:rsidR="00ED6DFE" w:rsidRDefault="00ED6DFE" w:rsidP="001C35B6">
      <w:pPr>
        <w:contextualSpacing/>
        <w:mirrorIndents/>
        <w:jc w:val="both"/>
        <w:rPr>
          <w:rFonts w:cs="Times New Roman"/>
          <w:sz w:val="20"/>
          <w:szCs w:val="20"/>
        </w:rPr>
      </w:pPr>
    </w:p>
    <w:p w:rsidR="00AF668B" w:rsidRDefault="00AF668B" w:rsidP="001C35B6">
      <w:pPr>
        <w:contextualSpacing/>
        <w:mirrorIndents/>
        <w:jc w:val="both"/>
        <w:rPr>
          <w:rFonts w:cs="Times New Roman"/>
          <w:sz w:val="20"/>
          <w:szCs w:val="20"/>
        </w:rPr>
      </w:pPr>
      <w:r w:rsidRPr="00AF668B">
        <w:rPr>
          <w:rFonts w:cs="Times New Roman"/>
          <w:b/>
          <w:sz w:val="20"/>
          <w:szCs w:val="20"/>
        </w:rPr>
        <w:t>Figure 2e:</w:t>
      </w:r>
      <w:r>
        <w:rPr>
          <w:rFonts w:cs="Times New Roman"/>
          <w:sz w:val="20"/>
          <w:szCs w:val="20"/>
        </w:rPr>
        <w:t xml:space="preserve"> </w:t>
      </w:r>
      <w:r w:rsidRPr="001C35B6">
        <w:rPr>
          <w:rFonts w:cs="Times New Roman"/>
          <w:sz w:val="20"/>
          <w:szCs w:val="20"/>
        </w:rPr>
        <w:t xml:space="preserve">Distribution of hourly peripheral </w:t>
      </w:r>
      <w:r w:rsidR="005B46D3" w:rsidRPr="005B46D3">
        <w:rPr>
          <w:rFonts w:cs="Times New Roman"/>
          <w:sz w:val="20"/>
          <w:szCs w:val="20"/>
        </w:rPr>
        <w:t>AIx@75</w:t>
      </w:r>
      <w:r w:rsidRPr="001C35B6">
        <w:rPr>
          <w:rFonts w:cs="Times New Roman"/>
          <w:sz w:val="20"/>
          <w:szCs w:val="20"/>
        </w:rPr>
        <w:t xml:space="preserve"> by COVID-19 diagnosis/hospitalization status during a 24-hour ABP measurement cycle.</w:t>
      </w:r>
    </w:p>
    <w:p w:rsidR="00AF668B" w:rsidRDefault="00AF668B" w:rsidP="001C35B6">
      <w:pPr>
        <w:contextualSpacing/>
        <w:mirrorIndents/>
        <w:jc w:val="both"/>
        <w:rPr>
          <w:rFonts w:cs="Times New Roman"/>
          <w:sz w:val="20"/>
          <w:szCs w:val="20"/>
        </w:rPr>
      </w:pPr>
    </w:p>
    <w:p w:rsidR="00852A0A" w:rsidRDefault="00852A0A" w:rsidP="00055D6C">
      <w:pPr>
        <w:contextualSpacing/>
        <w:mirrorIndents/>
        <w:jc w:val="center"/>
        <w:rPr>
          <w:rFonts w:cs="Times New Roman"/>
          <w:sz w:val="20"/>
          <w:szCs w:val="20"/>
        </w:rPr>
      </w:pPr>
      <w:r w:rsidRPr="00852A0A">
        <w:rPr>
          <w:rFonts w:cs="Times New Roman"/>
          <w:noProof/>
          <w:sz w:val="20"/>
          <w:szCs w:val="20"/>
          <w:lang w:val="en-AU" w:eastAsia="en-AU"/>
        </w:rPr>
        <w:drawing>
          <wp:inline distT="0" distB="0" distL="0" distR="0">
            <wp:extent cx="2952660" cy="1591733"/>
            <wp:effectExtent l="0" t="0" r="635" b="8890"/>
            <wp:docPr id="16" name="Picture 16" descr="E:\Office  Work\Author Proofs\IJNHCS-2024-390\fig 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Office  Work\Author Proofs\IJNHCS-2024-390\fig 2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4327" cy="1603413"/>
                    </a:xfrm>
                    <a:prstGeom prst="rect">
                      <a:avLst/>
                    </a:prstGeom>
                    <a:noFill/>
                    <a:ln>
                      <a:noFill/>
                    </a:ln>
                  </pic:spPr>
                </pic:pic>
              </a:graphicData>
            </a:graphic>
          </wp:inline>
        </w:drawing>
      </w:r>
    </w:p>
    <w:p w:rsidR="00364F8A" w:rsidRDefault="00364F8A" w:rsidP="001C35B6">
      <w:pPr>
        <w:contextualSpacing/>
        <w:mirrorIndents/>
        <w:jc w:val="both"/>
        <w:rPr>
          <w:rFonts w:cs="Times New Roman"/>
          <w:sz w:val="20"/>
          <w:szCs w:val="20"/>
        </w:rPr>
      </w:pPr>
    </w:p>
    <w:p w:rsidR="002E28FF" w:rsidRDefault="00AF668B" w:rsidP="001C35B6">
      <w:pPr>
        <w:contextualSpacing/>
        <w:mirrorIndents/>
        <w:jc w:val="both"/>
        <w:rPr>
          <w:rFonts w:cs="Times New Roman"/>
          <w:sz w:val="20"/>
          <w:szCs w:val="20"/>
        </w:rPr>
      </w:pPr>
      <w:r w:rsidRPr="00AF668B">
        <w:rPr>
          <w:rFonts w:cs="Times New Roman"/>
          <w:b/>
          <w:sz w:val="20"/>
          <w:szCs w:val="20"/>
        </w:rPr>
        <w:t>Figure 2f</w:t>
      </w:r>
      <w:r>
        <w:rPr>
          <w:rFonts w:cs="Times New Roman"/>
          <w:b/>
          <w:sz w:val="20"/>
          <w:szCs w:val="20"/>
        </w:rPr>
        <w:t>:</w:t>
      </w:r>
      <w:r w:rsidRPr="00AF668B">
        <w:rPr>
          <w:rFonts w:cs="Times New Roman"/>
          <w:sz w:val="20"/>
          <w:szCs w:val="20"/>
        </w:rPr>
        <w:t xml:space="preserve"> Distribut</w:t>
      </w:r>
      <w:r w:rsidR="001F6B24">
        <w:rPr>
          <w:rFonts w:cs="Times New Roman"/>
          <w:sz w:val="20"/>
          <w:szCs w:val="20"/>
        </w:rPr>
        <w:t xml:space="preserve">ion of hourly peripheral PWV </w:t>
      </w:r>
      <w:r w:rsidRPr="00AF668B">
        <w:rPr>
          <w:rFonts w:cs="Times New Roman"/>
          <w:sz w:val="20"/>
          <w:szCs w:val="20"/>
        </w:rPr>
        <w:t>by COVID-19 diagnosis/hospitalization status during a 24-hour ABP measurement cycle.</w:t>
      </w:r>
    </w:p>
    <w:p w:rsidR="002E28FF" w:rsidRDefault="002E28FF" w:rsidP="001C35B6">
      <w:pPr>
        <w:contextualSpacing/>
        <w:mirrorIndents/>
        <w:jc w:val="both"/>
        <w:rPr>
          <w:rFonts w:cs="Times New Roman"/>
          <w:sz w:val="20"/>
          <w:szCs w:val="20"/>
        </w:rPr>
      </w:pPr>
    </w:p>
    <w:tbl>
      <w:tblPr>
        <w:tblW w:w="9498" w:type="dxa"/>
        <w:jc w:val="center"/>
        <w:tblLook w:val="04A0" w:firstRow="1" w:lastRow="0" w:firstColumn="1" w:lastColumn="0" w:noHBand="0" w:noVBand="1"/>
      </w:tblPr>
      <w:tblGrid>
        <w:gridCol w:w="1700"/>
        <w:gridCol w:w="1263"/>
        <w:gridCol w:w="1184"/>
        <w:gridCol w:w="1377"/>
        <w:gridCol w:w="1417"/>
        <w:gridCol w:w="1139"/>
        <w:gridCol w:w="1418"/>
      </w:tblGrid>
      <w:tr w:rsidR="004A25B7" w:rsidRPr="004A25B7" w:rsidTr="003C07AF">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2"/>
                <w:szCs w:val="22"/>
                <w:lang w:val="en-IN" w:eastAsia="en-IN"/>
              </w:rPr>
            </w:pPr>
            <w:r w:rsidRPr="004A25B7">
              <w:rPr>
                <w:rFonts w:eastAsia="Times New Roman" w:cs="Times New Roman"/>
                <w:color w:val="000000"/>
                <w:kern w:val="0"/>
                <w:sz w:val="22"/>
                <w:szCs w:val="22"/>
                <w:lang w:eastAsia="en-IN"/>
              </w:rPr>
              <w:t>Study Group</w:t>
            </w:r>
          </w:p>
        </w:tc>
        <w:tc>
          <w:tcPr>
            <w:tcW w:w="7798" w:type="dxa"/>
            <w:gridSpan w:val="6"/>
            <w:tcBorders>
              <w:top w:val="single" w:sz="4" w:space="0" w:color="auto"/>
              <w:left w:val="nil"/>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2"/>
                <w:szCs w:val="22"/>
                <w:lang w:val="en-IN" w:eastAsia="en-IN"/>
              </w:rPr>
            </w:pPr>
            <w:r w:rsidRPr="004A25B7">
              <w:rPr>
                <w:rFonts w:eastAsia="Times New Roman" w:cs="Times New Roman"/>
                <w:color w:val="000000"/>
                <w:kern w:val="0"/>
                <w:sz w:val="22"/>
                <w:szCs w:val="22"/>
                <w:lang w:eastAsia="en-IN"/>
              </w:rPr>
              <w:t>Dependent Variable</w:t>
            </w:r>
          </w:p>
        </w:tc>
      </w:tr>
      <w:tr w:rsidR="004A25B7" w:rsidRPr="004A25B7" w:rsidTr="00492833">
        <w:trPr>
          <w:trHeight w:val="593"/>
          <w:jc w:val="center"/>
        </w:trPr>
        <w:tc>
          <w:tcPr>
            <w:tcW w:w="1700" w:type="dxa"/>
            <w:tcBorders>
              <w:top w:val="nil"/>
              <w:left w:val="single" w:sz="4" w:space="0" w:color="auto"/>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2"/>
                <w:szCs w:val="22"/>
                <w:lang w:val="en-IN" w:eastAsia="en-IN"/>
              </w:rPr>
            </w:pPr>
            <w:r w:rsidRPr="004A25B7">
              <w:rPr>
                <w:rFonts w:eastAsia="Times New Roman" w:cs="Times New Roman"/>
                <w:color w:val="000000"/>
                <w:kern w:val="0"/>
                <w:sz w:val="22"/>
                <w:szCs w:val="22"/>
                <w:lang w:eastAsia="en-IN"/>
              </w:rPr>
              <w:t>Study Group</w:t>
            </w:r>
          </w:p>
        </w:tc>
        <w:tc>
          <w:tcPr>
            <w:tcW w:w="1263" w:type="dxa"/>
            <w:tcBorders>
              <w:top w:val="nil"/>
              <w:left w:val="nil"/>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2"/>
                <w:szCs w:val="22"/>
                <w:lang w:val="en-IN" w:eastAsia="en-IN"/>
              </w:rPr>
            </w:pPr>
            <w:r w:rsidRPr="004A25B7">
              <w:rPr>
                <w:rFonts w:eastAsia="Times New Roman" w:cs="Times New Roman"/>
                <w:color w:val="000000"/>
                <w:kern w:val="0"/>
                <w:sz w:val="22"/>
                <w:szCs w:val="22"/>
                <w:lang w:eastAsia="en-IN"/>
              </w:rPr>
              <w:t xml:space="preserve">SBP </w:t>
            </w:r>
            <w:r w:rsidRPr="004A25B7">
              <w:rPr>
                <w:rFonts w:eastAsia="Times New Roman" w:cs="Times New Roman"/>
                <w:color w:val="FF0000"/>
                <w:kern w:val="0"/>
                <w:sz w:val="22"/>
                <w:szCs w:val="22"/>
                <w:lang w:eastAsia="en-IN"/>
              </w:rPr>
              <w:t>β</w:t>
            </w:r>
            <w:r w:rsidRPr="004A25B7">
              <w:rPr>
                <w:rFonts w:eastAsia="Times New Roman" w:cs="Times New Roman"/>
                <w:color w:val="000000"/>
                <w:kern w:val="0"/>
                <w:sz w:val="22"/>
                <w:szCs w:val="22"/>
                <w:lang w:eastAsia="en-IN"/>
              </w:rPr>
              <w:t>(SD)</w:t>
            </w:r>
          </w:p>
        </w:tc>
        <w:tc>
          <w:tcPr>
            <w:tcW w:w="1184" w:type="dxa"/>
            <w:tcBorders>
              <w:top w:val="nil"/>
              <w:left w:val="nil"/>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eastAsia="en-IN"/>
              </w:rPr>
              <w:t>DBP</w:t>
            </w:r>
            <w:r w:rsidRPr="004A25B7">
              <w:rPr>
                <w:rFonts w:eastAsia="Times New Roman" w:cs="Times New Roman"/>
                <w:color w:val="FF0000"/>
                <w:kern w:val="0"/>
                <w:sz w:val="22"/>
                <w:szCs w:val="22"/>
                <w:lang w:eastAsia="en-IN"/>
              </w:rPr>
              <w:t>β</w:t>
            </w:r>
            <w:r w:rsidRPr="004A25B7">
              <w:rPr>
                <w:rFonts w:eastAsia="Times New Roman" w:cs="Times New Roman"/>
                <w:color w:val="000000"/>
                <w:kern w:val="0"/>
                <w:sz w:val="22"/>
                <w:szCs w:val="22"/>
                <w:lang w:eastAsia="en-IN"/>
              </w:rPr>
              <w:t>(SD)</w:t>
            </w:r>
          </w:p>
        </w:tc>
        <w:tc>
          <w:tcPr>
            <w:tcW w:w="1377" w:type="dxa"/>
            <w:tcBorders>
              <w:top w:val="nil"/>
              <w:left w:val="nil"/>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2"/>
                <w:szCs w:val="22"/>
                <w:lang w:val="en-IN" w:eastAsia="en-IN"/>
              </w:rPr>
            </w:pPr>
            <w:r w:rsidRPr="004A25B7">
              <w:rPr>
                <w:rFonts w:eastAsia="Times New Roman" w:cs="Times New Roman"/>
                <w:color w:val="000000"/>
                <w:kern w:val="0"/>
                <w:sz w:val="22"/>
                <w:szCs w:val="22"/>
                <w:lang w:eastAsia="en-IN"/>
              </w:rPr>
              <w:t xml:space="preserve">cSBP </w:t>
            </w:r>
            <w:r w:rsidRPr="004A25B7">
              <w:rPr>
                <w:rFonts w:eastAsia="Times New Roman" w:cs="Times New Roman"/>
                <w:color w:val="FF0000"/>
                <w:kern w:val="0"/>
                <w:sz w:val="22"/>
                <w:szCs w:val="22"/>
                <w:lang w:eastAsia="en-IN"/>
              </w:rPr>
              <w:t>β</w:t>
            </w:r>
            <w:r w:rsidRPr="004A25B7">
              <w:rPr>
                <w:rFonts w:eastAsia="Times New Roman" w:cs="Times New Roman"/>
                <w:color w:val="000000"/>
                <w:kern w:val="0"/>
                <w:sz w:val="22"/>
                <w:szCs w:val="22"/>
                <w:lang w:eastAsia="en-IN"/>
              </w:rPr>
              <w:t>(SD)</w:t>
            </w:r>
          </w:p>
        </w:tc>
        <w:tc>
          <w:tcPr>
            <w:tcW w:w="1417" w:type="dxa"/>
            <w:tcBorders>
              <w:top w:val="nil"/>
              <w:left w:val="nil"/>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2"/>
                <w:szCs w:val="22"/>
                <w:lang w:val="en-IN" w:eastAsia="en-IN"/>
              </w:rPr>
            </w:pPr>
            <w:r w:rsidRPr="004A25B7">
              <w:rPr>
                <w:rFonts w:eastAsia="Times New Roman" w:cs="Times New Roman"/>
                <w:color w:val="000000"/>
                <w:kern w:val="0"/>
                <w:sz w:val="22"/>
                <w:szCs w:val="22"/>
                <w:lang w:eastAsia="en-IN"/>
              </w:rPr>
              <w:t xml:space="preserve">cDBP </w:t>
            </w:r>
            <w:r w:rsidRPr="004A25B7">
              <w:rPr>
                <w:rFonts w:eastAsia="Times New Roman" w:cs="Times New Roman"/>
                <w:color w:val="FF0000"/>
                <w:kern w:val="0"/>
                <w:sz w:val="22"/>
                <w:szCs w:val="22"/>
                <w:lang w:eastAsia="en-IN"/>
              </w:rPr>
              <w:t>β</w:t>
            </w:r>
            <w:r w:rsidRPr="004A25B7">
              <w:rPr>
                <w:rFonts w:eastAsia="Times New Roman" w:cs="Times New Roman"/>
                <w:color w:val="000000"/>
                <w:kern w:val="0"/>
                <w:sz w:val="22"/>
                <w:szCs w:val="22"/>
                <w:lang w:eastAsia="en-IN"/>
              </w:rPr>
              <w:t>(SD)</w:t>
            </w:r>
          </w:p>
        </w:tc>
        <w:tc>
          <w:tcPr>
            <w:tcW w:w="1139" w:type="dxa"/>
            <w:tcBorders>
              <w:top w:val="nil"/>
              <w:left w:val="nil"/>
              <w:bottom w:val="single" w:sz="4" w:space="0" w:color="auto"/>
              <w:right w:val="single" w:sz="4" w:space="0" w:color="auto"/>
            </w:tcBorders>
            <w:shd w:val="clear" w:color="auto" w:fill="auto"/>
            <w:noWrap/>
            <w:hideMark/>
          </w:tcPr>
          <w:p w:rsidR="004A25B7" w:rsidRPr="004A25B7" w:rsidRDefault="00F54C2E" w:rsidP="003C07AF">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eastAsia="en-IN"/>
              </w:rPr>
              <w:t>AIx</w:t>
            </w:r>
            <w:r w:rsidR="004A25B7" w:rsidRPr="004A25B7">
              <w:rPr>
                <w:rFonts w:eastAsia="Times New Roman" w:cs="Times New Roman"/>
                <w:color w:val="000000"/>
                <w:kern w:val="0"/>
                <w:sz w:val="22"/>
                <w:szCs w:val="22"/>
                <w:lang w:eastAsia="en-IN"/>
              </w:rPr>
              <w:t xml:space="preserve">@75 </w:t>
            </w:r>
            <w:r w:rsidR="004A25B7" w:rsidRPr="004A25B7">
              <w:rPr>
                <w:rFonts w:eastAsia="Times New Roman" w:cs="Times New Roman"/>
                <w:color w:val="FF0000"/>
                <w:kern w:val="0"/>
                <w:sz w:val="22"/>
                <w:szCs w:val="22"/>
                <w:lang w:eastAsia="en-IN"/>
              </w:rPr>
              <w:t>β</w:t>
            </w:r>
            <w:r w:rsidR="004A25B7" w:rsidRPr="004A25B7">
              <w:rPr>
                <w:rFonts w:eastAsia="Times New Roman" w:cs="Times New Roman"/>
                <w:color w:val="000000"/>
                <w:kern w:val="0"/>
                <w:sz w:val="22"/>
                <w:szCs w:val="22"/>
                <w:lang w:eastAsia="en-IN"/>
              </w:rPr>
              <w:t>(SD)</w:t>
            </w:r>
          </w:p>
        </w:tc>
        <w:tc>
          <w:tcPr>
            <w:tcW w:w="1418" w:type="dxa"/>
            <w:tcBorders>
              <w:top w:val="nil"/>
              <w:left w:val="nil"/>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2"/>
                <w:szCs w:val="22"/>
                <w:lang w:val="en-IN" w:eastAsia="en-IN"/>
              </w:rPr>
            </w:pPr>
            <w:r w:rsidRPr="004A25B7">
              <w:rPr>
                <w:rFonts w:eastAsia="Times New Roman" w:cs="Times New Roman"/>
                <w:color w:val="000000"/>
                <w:kern w:val="0"/>
                <w:sz w:val="22"/>
                <w:szCs w:val="22"/>
                <w:lang w:eastAsia="en-IN"/>
              </w:rPr>
              <w:t xml:space="preserve">PWV </w:t>
            </w:r>
            <w:r w:rsidRPr="004A25B7">
              <w:rPr>
                <w:rFonts w:eastAsia="Times New Roman" w:cs="Times New Roman"/>
                <w:color w:val="FF0000"/>
                <w:kern w:val="0"/>
                <w:sz w:val="22"/>
                <w:szCs w:val="22"/>
                <w:lang w:eastAsia="en-IN"/>
              </w:rPr>
              <w:t>β</w:t>
            </w:r>
            <w:r w:rsidRPr="004A25B7">
              <w:rPr>
                <w:rFonts w:eastAsia="Times New Roman" w:cs="Times New Roman"/>
                <w:color w:val="000000"/>
                <w:kern w:val="0"/>
                <w:sz w:val="22"/>
                <w:szCs w:val="22"/>
                <w:lang w:eastAsia="en-IN"/>
              </w:rPr>
              <w:t>(SD)</w:t>
            </w:r>
          </w:p>
        </w:tc>
      </w:tr>
      <w:tr w:rsidR="004A25B7" w:rsidRPr="004A25B7" w:rsidTr="00492833">
        <w:trPr>
          <w:trHeight w:val="270"/>
          <w:jc w:val="center"/>
        </w:trPr>
        <w:tc>
          <w:tcPr>
            <w:tcW w:w="1700" w:type="dxa"/>
            <w:tcBorders>
              <w:top w:val="nil"/>
              <w:left w:val="single" w:sz="4" w:space="0" w:color="auto"/>
              <w:bottom w:val="single" w:sz="4" w:space="0" w:color="auto"/>
              <w:right w:val="single" w:sz="4" w:space="0" w:color="auto"/>
            </w:tcBorders>
            <w:shd w:val="clear" w:color="auto" w:fill="auto"/>
            <w:noWrap/>
            <w:hideMark/>
          </w:tcPr>
          <w:p w:rsidR="004A25B7" w:rsidRPr="004A25B7" w:rsidRDefault="00BA6661" w:rsidP="00BA6661">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lastRenderedPageBreak/>
              <w:t>COVID-19 w</w:t>
            </w:r>
            <w:r w:rsidR="004A25B7" w:rsidRPr="004A25B7">
              <w:rPr>
                <w:rFonts w:eastAsia="Times New Roman" w:cs="Times New Roman"/>
                <w:color w:val="000000"/>
                <w:kern w:val="0"/>
                <w:sz w:val="22"/>
                <w:szCs w:val="22"/>
                <w:lang w:val="en-IN" w:eastAsia="en-IN"/>
              </w:rPr>
              <w:t xml:space="preserve">ith </w:t>
            </w:r>
            <w:r>
              <w:rPr>
                <w:rFonts w:eastAsia="Times New Roman" w:cs="Times New Roman"/>
                <w:color w:val="000000"/>
                <w:kern w:val="0"/>
                <w:sz w:val="22"/>
                <w:szCs w:val="22"/>
                <w:lang w:val="en-IN" w:eastAsia="en-IN"/>
              </w:rPr>
              <w:t>n</w:t>
            </w:r>
            <w:r w:rsidR="00A82E01">
              <w:rPr>
                <w:rFonts w:eastAsia="Times New Roman" w:cs="Times New Roman"/>
                <w:color w:val="000000"/>
                <w:kern w:val="0"/>
                <w:sz w:val="22"/>
                <w:szCs w:val="22"/>
                <w:lang w:val="en-IN" w:eastAsia="en-IN"/>
              </w:rPr>
              <w:t xml:space="preserve">o </w:t>
            </w:r>
            <w:r w:rsidR="004A25B7" w:rsidRPr="004A25B7">
              <w:rPr>
                <w:rFonts w:eastAsia="Times New Roman" w:cs="Times New Roman"/>
                <w:color w:val="000000"/>
                <w:kern w:val="0"/>
                <w:sz w:val="22"/>
                <w:szCs w:val="22"/>
                <w:lang w:val="en-IN" w:eastAsia="en-IN"/>
              </w:rPr>
              <w:t>hospitalization</w:t>
            </w:r>
          </w:p>
        </w:tc>
        <w:tc>
          <w:tcPr>
            <w:tcW w:w="1263" w:type="dxa"/>
            <w:tcBorders>
              <w:top w:val="nil"/>
              <w:left w:val="nil"/>
              <w:bottom w:val="single" w:sz="4" w:space="0" w:color="auto"/>
              <w:right w:val="single" w:sz="4" w:space="0" w:color="auto"/>
            </w:tcBorders>
            <w:shd w:val="clear" w:color="auto" w:fill="auto"/>
            <w:noWrap/>
            <w:hideMark/>
          </w:tcPr>
          <w:p w:rsidR="004A25B7" w:rsidRPr="004A25B7" w:rsidRDefault="0019188F" w:rsidP="003C07AF">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w:t>
            </w:r>
            <w:r w:rsidR="004A25B7" w:rsidRPr="004A25B7">
              <w:rPr>
                <w:rFonts w:eastAsia="Times New Roman" w:cs="Times New Roman"/>
                <w:color w:val="000000"/>
                <w:kern w:val="0"/>
                <w:sz w:val="22"/>
                <w:szCs w:val="22"/>
                <w:lang w:val="en-IN" w:eastAsia="en-IN"/>
              </w:rPr>
              <w:t xml:space="preserve">6.33 </w:t>
            </w:r>
            <w:r w:rsidR="004A25B7" w:rsidRPr="004A25B7">
              <w:rPr>
                <w:rFonts w:eastAsia="Times New Roman" w:cs="Times New Roman"/>
                <w:color w:val="000000"/>
                <w:kern w:val="0"/>
                <w:sz w:val="22"/>
                <w:szCs w:val="22"/>
                <w:lang w:val="en-IN" w:eastAsia="en-IN"/>
              </w:rPr>
              <w:br/>
              <w:t>(6.55)</w:t>
            </w:r>
          </w:p>
        </w:tc>
        <w:tc>
          <w:tcPr>
            <w:tcW w:w="1184" w:type="dxa"/>
            <w:tcBorders>
              <w:top w:val="nil"/>
              <w:left w:val="nil"/>
              <w:bottom w:val="single" w:sz="4" w:space="0" w:color="auto"/>
              <w:right w:val="single" w:sz="4" w:space="0" w:color="auto"/>
            </w:tcBorders>
            <w:shd w:val="clear" w:color="auto" w:fill="auto"/>
            <w:noWrap/>
            <w:hideMark/>
          </w:tcPr>
          <w:p w:rsidR="004A25B7" w:rsidRPr="004A25B7" w:rsidRDefault="0019188F" w:rsidP="003C07AF">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w:t>
            </w:r>
            <w:r w:rsidR="004A25B7" w:rsidRPr="004A25B7">
              <w:rPr>
                <w:rFonts w:eastAsia="Times New Roman" w:cs="Times New Roman"/>
                <w:color w:val="000000"/>
                <w:kern w:val="0"/>
                <w:sz w:val="22"/>
                <w:szCs w:val="22"/>
                <w:lang w:val="en-IN" w:eastAsia="en-IN"/>
              </w:rPr>
              <w:t>5.80</w:t>
            </w:r>
            <w:r w:rsidR="004A25B7" w:rsidRPr="004A25B7">
              <w:rPr>
                <w:rFonts w:eastAsia="Times New Roman" w:cs="Times New Roman"/>
                <w:color w:val="000000"/>
                <w:kern w:val="0"/>
                <w:sz w:val="22"/>
                <w:szCs w:val="22"/>
                <w:lang w:val="en-IN" w:eastAsia="en-IN"/>
              </w:rPr>
              <w:br/>
              <w:t>(4.83)</w:t>
            </w:r>
          </w:p>
        </w:tc>
        <w:tc>
          <w:tcPr>
            <w:tcW w:w="1377" w:type="dxa"/>
            <w:tcBorders>
              <w:top w:val="nil"/>
              <w:left w:val="nil"/>
              <w:bottom w:val="single" w:sz="4" w:space="0" w:color="auto"/>
              <w:right w:val="single" w:sz="4" w:space="0" w:color="auto"/>
            </w:tcBorders>
            <w:shd w:val="clear" w:color="auto" w:fill="auto"/>
            <w:noWrap/>
            <w:hideMark/>
          </w:tcPr>
          <w:p w:rsidR="004A25B7" w:rsidRPr="004A25B7" w:rsidRDefault="0019188F" w:rsidP="003C07AF">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w:t>
            </w:r>
            <w:r w:rsidR="004A25B7" w:rsidRPr="004A25B7">
              <w:rPr>
                <w:rFonts w:eastAsia="Times New Roman" w:cs="Times New Roman"/>
                <w:color w:val="000000"/>
                <w:kern w:val="0"/>
                <w:sz w:val="22"/>
                <w:szCs w:val="22"/>
                <w:lang w:val="en-IN" w:eastAsia="en-IN"/>
              </w:rPr>
              <w:t>3.36</w:t>
            </w:r>
            <w:r w:rsidR="004A25B7" w:rsidRPr="004A25B7">
              <w:rPr>
                <w:rFonts w:eastAsia="Times New Roman" w:cs="Times New Roman"/>
                <w:color w:val="000000"/>
                <w:kern w:val="0"/>
                <w:sz w:val="22"/>
                <w:szCs w:val="22"/>
                <w:lang w:val="en-IN" w:eastAsia="en-IN"/>
              </w:rPr>
              <w:br/>
              <w:t>(4.59)</w:t>
            </w:r>
          </w:p>
        </w:tc>
        <w:tc>
          <w:tcPr>
            <w:tcW w:w="1417" w:type="dxa"/>
            <w:tcBorders>
              <w:top w:val="nil"/>
              <w:left w:val="nil"/>
              <w:bottom w:val="single" w:sz="4" w:space="0" w:color="auto"/>
              <w:right w:val="single" w:sz="4" w:space="0" w:color="auto"/>
            </w:tcBorders>
            <w:shd w:val="clear" w:color="auto" w:fill="auto"/>
            <w:noWrap/>
            <w:hideMark/>
          </w:tcPr>
          <w:p w:rsidR="004A25B7" w:rsidRPr="004A25B7" w:rsidRDefault="0019188F" w:rsidP="003C07AF">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w:t>
            </w:r>
            <w:r w:rsidR="004A25B7" w:rsidRPr="004A25B7">
              <w:rPr>
                <w:rFonts w:eastAsia="Times New Roman" w:cs="Times New Roman"/>
                <w:color w:val="000000"/>
                <w:kern w:val="0"/>
                <w:sz w:val="22"/>
                <w:szCs w:val="22"/>
                <w:lang w:val="en-IN" w:eastAsia="en-IN"/>
              </w:rPr>
              <w:t>5.10</w:t>
            </w:r>
            <w:r w:rsidR="004A25B7" w:rsidRPr="004A25B7">
              <w:rPr>
                <w:rFonts w:eastAsia="Times New Roman" w:cs="Times New Roman"/>
                <w:color w:val="000000"/>
                <w:kern w:val="0"/>
                <w:sz w:val="22"/>
                <w:szCs w:val="22"/>
                <w:lang w:val="en-IN" w:eastAsia="en-IN"/>
              </w:rPr>
              <w:br/>
              <w:t>(4.68)</w:t>
            </w:r>
          </w:p>
        </w:tc>
        <w:tc>
          <w:tcPr>
            <w:tcW w:w="1139" w:type="dxa"/>
            <w:tcBorders>
              <w:top w:val="nil"/>
              <w:left w:val="nil"/>
              <w:bottom w:val="single" w:sz="4" w:space="0" w:color="auto"/>
              <w:right w:val="single" w:sz="4" w:space="0" w:color="auto"/>
            </w:tcBorders>
            <w:shd w:val="clear" w:color="auto" w:fill="auto"/>
            <w:noWrap/>
            <w:hideMark/>
          </w:tcPr>
          <w:p w:rsidR="004A25B7" w:rsidRPr="004A25B7" w:rsidRDefault="0019188F" w:rsidP="003C07AF">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w:t>
            </w:r>
            <w:r w:rsidR="004A25B7" w:rsidRPr="004A25B7">
              <w:rPr>
                <w:rFonts w:eastAsia="Times New Roman" w:cs="Times New Roman"/>
                <w:color w:val="000000"/>
                <w:kern w:val="0"/>
                <w:sz w:val="22"/>
                <w:szCs w:val="22"/>
                <w:lang w:val="en-IN" w:eastAsia="en-IN"/>
              </w:rPr>
              <w:t>4.30*</w:t>
            </w:r>
            <w:r w:rsidR="004A25B7" w:rsidRPr="004A25B7">
              <w:rPr>
                <w:rFonts w:eastAsia="Times New Roman" w:cs="Times New Roman"/>
                <w:color w:val="000000"/>
                <w:kern w:val="0"/>
                <w:sz w:val="22"/>
                <w:szCs w:val="22"/>
                <w:lang w:val="en-IN" w:eastAsia="en-IN"/>
              </w:rPr>
              <w:br/>
              <w:t>(2.38)</w:t>
            </w:r>
          </w:p>
        </w:tc>
        <w:tc>
          <w:tcPr>
            <w:tcW w:w="1418" w:type="dxa"/>
            <w:tcBorders>
              <w:top w:val="nil"/>
              <w:left w:val="nil"/>
              <w:bottom w:val="single" w:sz="4" w:space="0" w:color="auto"/>
              <w:right w:val="single" w:sz="4" w:space="0" w:color="auto"/>
            </w:tcBorders>
            <w:shd w:val="clear" w:color="auto" w:fill="auto"/>
            <w:noWrap/>
            <w:hideMark/>
          </w:tcPr>
          <w:p w:rsidR="004A25B7" w:rsidRPr="004A25B7" w:rsidRDefault="0019188F" w:rsidP="003C07AF">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w:t>
            </w:r>
            <w:r w:rsidR="004A25B7" w:rsidRPr="004A25B7">
              <w:rPr>
                <w:rFonts w:eastAsia="Times New Roman" w:cs="Times New Roman"/>
                <w:color w:val="000000"/>
                <w:kern w:val="0"/>
                <w:sz w:val="22"/>
                <w:szCs w:val="22"/>
                <w:lang w:val="en-IN" w:eastAsia="en-IN"/>
              </w:rPr>
              <w:t>0.33</w:t>
            </w:r>
            <w:r w:rsidR="004A25B7" w:rsidRPr="004A25B7">
              <w:rPr>
                <w:rFonts w:eastAsia="Times New Roman" w:cs="Times New Roman"/>
                <w:color w:val="000000"/>
                <w:kern w:val="0"/>
                <w:sz w:val="22"/>
                <w:szCs w:val="22"/>
                <w:lang w:val="en-IN" w:eastAsia="en-IN"/>
              </w:rPr>
              <w:br/>
              <w:t>(0.34)</w:t>
            </w:r>
          </w:p>
        </w:tc>
      </w:tr>
      <w:tr w:rsidR="004A25B7" w:rsidRPr="004A25B7" w:rsidTr="00492833">
        <w:trPr>
          <w:trHeight w:val="270"/>
          <w:jc w:val="center"/>
        </w:trPr>
        <w:tc>
          <w:tcPr>
            <w:tcW w:w="1700" w:type="dxa"/>
            <w:tcBorders>
              <w:top w:val="nil"/>
              <w:left w:val="single" w:sz="4" w:space="0" w:color="auto"/>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2"/>
                <w:szCs w:val="22"/>
                <w:lang w:val="en-IN" w:eastAsia="en-IN"/>
              </w:rPr>
            </w:pPr>
            <w:r w:rsidRPr="004A25B7">
              <w:rPr>
                <w:rFonts w:eastAsia="Times New Roman" w:cs="Times New Roman"/>
                <w:color w:val="000000"/>
                <w:kern w:val="0"/>
                <w:sz w:val="22"/>
                <w:szCs w:val="22"/>
                <w:lang w:eastAsia="en-IN"/>
              </w:rPr>
              <w:t>No COVID-19</w:t>
            </w:r>
          </w:p>
        </w:tc>
        <w:tc>
          <w:tcPr>
            <w:tcW w:w="1263" w:type="dxa"/>
            <w:tcBorders>
              <w:top w:val="nil"/>
              <w:left w:val="nil"/>
              <w:bottom w:val="single" w:sz="4" w:space="0" w:color="auto"/>
              <w:right w:val="single" w:sz="4" w:space="0" w:color="auto"/>
            </w:tcBorders>
            <w:shd w:val="clear" w:color="auto" w:fill="auto"/>
            <w:noWrap/>
            <w:hideMark/>
          </w:tcPr>
          <w:p w:rsidR="004A25B7" w:rsidRPr="004A25B7" w:rsidRDefault="00492833" w:rsidP="003C07AF">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w:t>
            </w:r>
            <w:r w:rsidR="004A25B7" w:rsidRPr="004A25B7">
              <w:rPr>
                <w:rFonts w:eastAsia="Times New Roman" w:cs="Times New Roman"/>
                <w:color w:val="000000"/>
                <w:kern w:val="0"/>
                <w:sz w:val="22"/>
                <w:szCs w:val="22"/>
                <w:lang w:val="en-IN" w:eastAsia="en-IN"/>
              </w:rPr>
              <w:t>3.58</w:t>
            </w:r>
            <w:r w:rsidR="004A25B7" w:rsidRPr="004A25B7">
              <w:rPr>
                <w:rFonts w:eastAsia="Times New Roman" w:cs="Times New Roman"/>
                <w:color w:val="000000"/>
                <w:kern w:val="0"/>
                <w:sz w:val="22"/>
                <w:szCs w:val="22"/>
                <w:lang w:val="en-IN" w:eastAsia="en-IN"/>
              </w:rPr>
              <w:br/>
              <w:t>(7.16)</w:t>
            </w:r>
          </w:p>
        </w:tc>
        <w:tc>
          <w:tcPr>
            <w:tcW w:w="1184" w:type="dxa"/>
            <w:tcBorders>
              <w:top w:val="nil"/>
              <w:left w:val="nil"/>
              <w:bottom w:val="single" w:sz="4" w:space="0" w:color="auto"/>
              <w:right w:val="single" w:sz="4" w:space="0" w:color="auto"/>
            </w:tcBorders>
            <w:shd w:val="clear" w:color="auto" w:fill="auto"/>
            <w:noWrap/>
            <w:hideMark/>
          </w:tcPr>
          <w:p w:rsidR="004A25B7" w:rsidRPr="004A25B7" w:rsidRDefault="00492833" w:rsidP="003C07AF">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w:t>
            </w:r>
            <w:r w:rsidR="004A25B7" w:rsidRPr="004A25B7">
              <w:rPr>
                <w:rFonts w:eastAsia="Times New Roman" w:cs="Times New Roman"/>
                <w:color w:val="000000"/>
                <w:kern w:val="0"/>
                <w:sz w:val="22"/>
                <w:szCs w:val="22"/>
                <w:lang w:val="en-IN" w:eastAsia="en-IN"/>
              </w:rPr>
              <w:t>6.35</w:t>
            </w:r>
            <w:r w:rsidR="004A25B7" w:rsidRPr="004A25B7">
              <w:rPr>
                <w:rFonts w:eastAsia="Times New Roman" w:cs="Times New Roman"/>
                <w:color w:val="000000"/>
                <w:kern w:val="0"/>
                <w:sz w:val="22"/>
                <w:szCs w:val="22"/>
                <w:lang w:val="en-IN" w:eastAsia="en-IN"/>
              </w:rPr>
              <w:br/>
              <w:t>(6.02)</w:t>
            </w:r>
          </w:p>
        </w:tc>
        <w:tc>
          <w:tcPr>
            <w:tcW w:w="1377" w:type="dxa"/>
            <w:tcBorders>
              <w:top w:val="nil"/>
              <w:left w:val="nil"/>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2"/>
                <w:szCs w:val="22"/>
                <w:lang w:val="en-IN" w:eastAsia="en-IN"/>
              </w:rPr>
            </w:pPr>
            <w:r w:rsidRPr="004A25B7">
              <w:rPr>
                <w:rFonts w:eastAsia="Times New Roman" w:cs="Times New Roman"/>
                <w:color w:val="000000"/>
                <w:kern w:val="0"/>
                <w:sz w:val="22"/>
                <w:szCs w:val="22"/>
                <w:lang w:val="en-IN" w:eastAsia="en-IN"/>
              </w:rPr>
              <w:t>0.80</w:t>
            </w:r>
            <w:r w:rsidRPr="004A25B7">
              <w:rPr>
                <w:rFonts w:eastAsia="Times New Roman" w:cs="Times New Roman"/>
                <w:color w:val="000000"/>
                <w:kern w:val="0"/>
                <w:sz w:val="22"/>
                <w:szCs w:val="22"/>
                <w:lang w:val="en-IN" w:eastAsia="en-IN"/>
              </w:rPr>
              <w:br/>
              <w:t>(5.37)</w:t>
            </w:r>
          </w:p>
        </w:tc>
        <w:tc>
          <w:tcPr>
            <w:tcW w:w="1417" w:type="dxa"/>
            <w:tcBorders>
              <w:top w:val="nil"/>
              <w:left w:val="nil"/>
              <w:bottom w:val="single" w:sz="4" w:space="0" w:color="auto"/>
              <w:right w:val="single" w:sz="4" w:space="0" w:color="auto"/>
            </w:tcBorders>
            <w:shd w:val="clear" w:color="auto" w:fill="auto"/>
            <w:noWrap/>
            <w:hideMark/>
          </w:tcPr>
          <w:p w:rsidR="004A25B7" w:rsidRPr="004A25B7" w:rsidRDefault="00492833" w:rsidP="003C07AF">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w:t>
            </w:r>
            <w:r w:rsidR="004A25B7" w:rsidRPr="004A25B7">
              <w:rPr>
                <w:rFonts w:eastAsia="Times New Roman" w:cs="Times New Roman"/>
                <w:color w:val="000000"/>
                <w:kern w:val="0"/>
                <w:sz w:val="22"/>
                <w:szCs w:val="22"/>
                <w:lang w:val="en-IN" w:eastAsia="en-IN"/>
              </w:rPr>
              <w:t>5.60</w:t>
            </w:r>
            <w:r w:rsidR="004A25B7" w:rsidRPr="004A25B7">
              <w:rPr>
                <w:rFonts w:eastAsia="Times New Roman" w:cs="Times New Roman"/>
                <w:color w:val="000000"/>
                <w:kern w:val="0"/>
                <w:sz w:val="22"/>
                <w:szCs w:val="22"/>
                <w:lang w:val="en-IN" w:eastAsia="en-IN"/>
              </w:rPr>
              <w:br/>
              <w:t>(5.91)</w:t>
            </w:r>
          </w:p>
        </w:tc>
        <w:tc>
          <w:tcPr>
            <w:tcW w:w="1139" w:type="dxa"/>
            <w:tcBorders>
              <w:top w:val="nil"/>
              <w:left w:val="nil"/>
              <w:bottom w:val="single" w:sz="4" w:space="0" w:color="auto"/>
              <w:right w:val="single" w:sz="4" w:space="0" w:color="auto"/>
            </w:tcBorders>
            <w:shd w:val="clear" w:color="auto" w:fill="auto"/>
            <w:noWrap/>
            <w:hideMark/>
          </w:tcPr>
          <w:p w:rsidR="004A25B7" w:rsidRPr="004A25B7" w:rsidRDefault="00492833" w:rsidP="003C07AF">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w:t>
            </w:r>
            <w:r w:rsidR="004A25B7" w:rsidRPr="004A25B7">
              <w:rPr>
                <w:rFonts w:eastAsia="Times New Roman" w:cs="Times New Roman"/>
                <w:color w:val="000000"/>
                <w:kern w:val="0"/>
                <w:sz w:val="22"/>
                <w:szCs w:val="22"/>
                <w:lang w:val="en-IN" w:eastAsia="en-IN"/>
              </w:rPr>
              <w:t>3.97</w:t>
            </w:r>
            <w:r w:rsidR="004A25B7" w:rsidRPr="004A25B7">
              <w:rPr>
                <w:rFonts w:eastAsia="Times New Roman" w:cs="Times New Roman"/>
                <w:color w:val="000000"/>
                <w:kern w:val="0"/>
                <w:sz w:val="22"/>
                <w:szCs w:val="22"/>
                <w:lang w:val="en-IN" w:eastAsia="en-IN"/>
              </w:rPr>
              <w:br/>
              <w:t>(2.77)</w:t>
            </w:r>
          </w:p>
        </w:tc>
        <w:tc>
          <w:tcPr>
            <w:tcW w:w="1418" w:type="dxa"/>
            <w:tcBorders>
              <w:top w:val="nil"/>
              <w:left w:val="nil"/>
              <w:bottom w:val="single" w:sz="4" w:space="0" w:color="auto"/>
              <w:right w:val="single" w:sz="4" w:space="0" w:color="auto"/>
            </w:tcBorders>
            <w:shd w:val="clear" w:color="auto" w:fill="auto"/>
            <w:noWrap/>
            <w:hideMark/>
          </w:tcPr>
          <w:p w:rsidR="004A25B7" w:rsidRPr="004A25B7" w:rsidRDefault="00492833" w:rsidP="003C07AF">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w:t>
            </w:r>
            <w:r w:rsidR="004A25B7" w:rsidRPr="004A25B7">
              <w:rPr>
                <w:rFonts w:eastAsia="Times New Roman" w:cs="Times New Roman"/>
                <w:color w:val="000000"/>
                <w:kern w:val="0"/>
                <w:sz w:val="22"/>
                <w:szCs w:val="22"/>
                <w:lang w:val="en-IN" w:eastAsia="en-IN"/>
              </w:rPr>
              <w:t>0.25</w:t>
            </w:r>
            <w:r w:rsidR="004A25B7" w:rsidRPr="004A25B7">
              <w:rPr>
                <w:rFonts w:eastAsia="Times New Roman" w:cs="Times New Roman"/>
                <w:color w:val="000000"/>
                <w:kern w:val="0"/>
                <w:sz w:val="22"/>
                <w:szCs w:val="22"/>
                <w:lang w:val="en-IN" w:eastAsia="en-IN"/>
              </w:rPr>
              <w:br/>
              <w:t>(0.31)</w:t>
            </w:r>
          </w:p>
        </w:tc>
      </w:tr>
      <w:tr w:rsidR="004A25B7" w:rsidRPr="004A25B7" w:rsidTr="00492833">
        <w:trPr>
          <w:trHeight w:val="270"/>
          <w:jc w:val="center"/>
        </w:trPr>
        <w:tc>
          <w:tcPr>
            <w:tcW w:w="1700" w:type="dxa"/>
            <w:tcBorders>
              <w:top w:val="nil"/>
              <w:left w:val="single" w:sz="4" w:space="0" w:color="auto"/>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0"/>
                <w:szCs w:val="20"/>
                <w:lang w:val="en-IN" w:eastAsia="en-IN"/>
              </w:rPr>
            </w:pPr>
            <w:r w:rsidRPr="004A25B7">
              <w:rPr>
                <w:rFonts w:eastAsia="Times New Roman" w:cs="Times New Roman"/>
                <w:color w:val="000000"/>
                <w:kern w:val="0"/>
                <w:sz w:val="20"/>
                <w:szCs w:val="20"/>
                <w:lang w:eastAsia="en-IN"/>
              </w:rPr>
              <w:t>Observations</w:t>
            </w:r>
          </w:p>
        </w:tc>
        <w:tc>
          <w:tcPr>
            <w:tcW w:w="1263" w:type="dxa"/>
            <w:tcBorders>
              <w:top w:val="nil"/>
              <w:left w:val="nil"/>
              <w:bottom w:val="single" w:sz="4" w:space="0" w:color="auto"/>
              <w:right w:val="single" w:sz="4" w:space="0" w:color="auto"/>
            </w:tcBorders>
            <w:shd w:val="clear" w:color="auto" w:fill="auto"/>
            <w:noWrap/>
            <w:hideMark/>
          </w:tcPr>
          <w:p w:rsidR="004A25B7" w:rsidRPr="004A25B7" w:rsidRDefault="0019188F" w:rsidP="0019188F">
            <w:pP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1,110</w:t>
            </w:r>
          </w:p>
        </w:tc>
        <w:tc>
          <w:tcPr>
            <w:tcW w:w="1184" w:type="dxa"/>
            <w:tcBorders>
              <w:top w:val="nil"/>
              <w:left w:val="nil"/>
              <w:bottom w:val="single" w:sz="4" w:space="0" w:color="auto"/>
              <w:right w:val="single" w:sz="4" w:space="0" w:color="auto"/>
            </w:tcBorders>
            <w:shd w:val="clear" w:color="auto" w:fill="auto"/>
            <w:noWrap/>
            <w:hideMark/>
          </w:tcPr>
          <w:p w:rsidR="004A25B7" w:rsidRPr="004A25B7" w:rsidRDefault="0019188F" w:rsidP="0019188F">
            <w:pP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1,110</w:t>
            </w:r>
          </w:p>
        </w:tc>
        <w:tc>
          <w:tcPr>
            <w:tcW w:w="1377" w:type="dxa"/>
            <w:tcBorders>
              <w:top w:val="nil"/>
              <w:left w:val="nil"/>
              <w:bottom w:val="single" w:sz="4" w:space="0" w:color="auto"/>
              <w:right w:val="single" w:sz="4" w:space="0" w:color="auto"/>
            </w:tcBorders>
            <w:shd w:val="clear" w:color="auto" w:fill="auto"/>
            <w:noWrap/>
            <w:hideMark/>
          </w:tcPr>
          <w:p w:rsidR="004A25B7" w:rsidRPr="004A25B7" w:rsidRDefault="0019188F" w:rsidP="0019188F">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1,008</w:t>
            </w:r>
          </w:p>
        </w:tc>
        <w:tc>
          <w:tcPr>
            <w:tcW w:w="1417" w:type="dxa"/>
            <w:tcBorders>
              <w:top w:val="nil"/>
              <w:left w:val="nil"/>
              <w:bottom w:val="single" w:sz="4" w:space="0" w:color="auto"/>
              <w:right w:val="single" w:sz="4" w:space="0" w:color="auto"/>
            </w:tcBorders>
            <w:shd w:val="clear" w:color="auto" w:fill="auto"/>
            <w:noWrap/>
            <w:hideMark/>
          </w:tcPr>
          <w:p w:rsidR="004A25B7" w:rsidRPr="004A25B7" w:rsidRDefault="0019188F" w:rsidP="003C07AF">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1,008</w:t>
            </w:r>
          </w:p>
        </w:tc>
        <w:tc>
          <w:tcPr>
            <w:tcW w:w="1139" w:type="dxa"/>
            <w:tcBorders>
              <w:top w:val="nil"/>
              <w:left w:val="nil"/>
              <w:bottom w:val="single" w:sz="4" w:space="0" w:color="auto"/>
              <w:right w:val="single" w:sz="4" w:space="0" w:color="auto"/>
            </w:tcBorders>
            <w:shd w:val="clear" w:color="auto" w:fill="auto"/>
            <w:noWrap/>
            <w:hideMark/>
          </w:tcPr>
          <w:p w:rsidR="004A25B7" w:rsidRPr="004A25B7" w:rsidRDefault="0019188F" w:rsidP="003C07AF">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1,110</w:t>
            </w:r>
          </w:p>
        </w:tc>
        <w:tc>
          <w:tcPr>
            <w:tcW w:w="1418" w:type="dxa"/>
            <w:tcBorders>
              <w:top w:val="nil"/>
              <w:left w:val="nil"/>
              <w:bottom w:val="single" w:sz="4" w:space="0" w:color="auto"/>
              <w:right w:val="single" w:sz="4" w:space="0" w:color="auto"/>
            </w:tcBorders>
            <w:shd w:val="clear" w:color="auto" w:fill="auto"/>
            <w:noWrap/>
            <w:hideMark/>
          </w:tcPr>
          <w:p w:rsidR="004A25B7" w:rsidRPr="004A25B7" w:rsidRDefault="0019188F" w:rsidP="003C07AF">
            <w:pPr>
              <w:jc w:val="center"/>
              <w:rPr>
                <w:rFonts w:eastAsia="Times New Roman" w:cs="Times New Roman"/>
                <w:color w:val="000000"/>
                <w:kern w:val="0"/>
                <w:sz w:val="22"/>
                <w:szCs w:val="22"/>
                <w:lang w:val="en-IN" w:eastAsia="en-IN"/>
              </w:rPr>
            </w:pPr>
            <w:r>
              <w:rPr>
                <w:rFonts w:eastAsia="Times New Roman" w:cs="Times New Roman"/>
                <w:iCs/>
                <w:color w:val="000000"/>
                <w:kern w:val="0"/>
                <w:sz w:val="22"/>
                <w:szCs w:val="22"/>
                <w:lang w:eastAsia="en-IN"/>
              </w:rPr>
              <w:t>1,110</w:t>
            </w:r>
          </w:p>
        </w:tc>
      </w:tr>
      <w:tr w:rsidR="004A25B7" w:rsidRPr="004A25B7" w:rsidTr="00492833">
        <w:trPr>
          <w:trHeight w:val="283"/>
          <w:jc w:val="center"/>
        </w:trPr>
        <w:tc>
          <w:tcPr>
            <w:tcW w:w="1700" w:type="dxa"/>
            <w:tcBorders>
              <w:top w:val="nil"/>
              <w:left w:val="single" w:sz="4" w:space="0" w:color="auto"/>
              <w:bottom w:val="single" w:sz="4" w:space="0" w:color="auto"/>
              <w:right w:val="single" w:sz="4" w:space="0" w:color="auto"/>
            </w:tcBorders>
            <w:shd w:val="clear" w:color="auto" w:fill="auto"/>
            <w:noWrap/>
            <w:hideMark/>
          </w:tcPr>
          <w:p w:rsidR="004A25B7" w:rsidRPr="004A25B7" w:rsidRDefault="00F455D4" w:rsidP="003C07AF">
            <w:pPr>
              <w:jc w:val="center"/>
              <w:rPr>
                <w:rFonts w:eastAsia="Times New Roman" w:cs="Times New Roman"/>
                <w:color w:val="000000"/>
                <w:kern w:val="0"/>
                <w:sz w:val="20"/>
                <w:szCs w:val="20"/>
                <w:lang w:val="en-IN" w:eastAsia="en-IN"/>
              </w:rPr>
            </w:pPr>
            <w:r>
              <w:rPr>
                <w:rFonts w:eastAsia="Times New Roman" w:cs="Times New Roman"/>
                <w:color w:val="000000"/>
                <w:kern w:val="0"/>
                <w:sz w:val="20"/>
                <w:szCs w:val="20"/>
                <w:lang w:eastAsia="en-IN"/>
              </w:rPr>
              <w:t>Adjusted R</w:t>
            </w:r>
            <w:r w:rsidRPr="00F455D4">
              <w:rPr>
                <w:rFonts w:eastAsia="Times New Roman" w:cs="Times New Roman"/>
                <w:color w:val="FF0000"/>
                <w:kern w:val="0"/>
                <w:sz w:val="20"/>
                <w:szCs w:val="20"/>
                <w:vertAlign w:val="superscript"/>
                <w:lang w:eastAsia="en-IN"/>
              </w:rPr>
              <w:t>2</w:t>
            </w:r>
          </w:p>
        </w:tc>
        <w:tc>
          <w:tcPr>
            <w:tcW w:w="1263" w:type="dxa"/>
            <w:tcBorders>
              <w:top w:val="nil"/>
              <w:left w:val="nil"/>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2"/>
                <w:szCs w:val="22"/>
                <w:lang w:val="en-IN" w:eastAsia="en-IN"/>
              </w:rPr>
            </w:pPr>
            <w:r w:rsidRPr="004A25B7">
              <w:rPr>
                <w:rFonts w:eastAsia="Times New Roman" w:cs="Times New Roman"/>
                <w:iCs/>
                <w:color w:val="000000"/>
                <w:kern w:val="0"/>
                <w:sz w:val="22"/>
                <w:szCs w:val="22"/>
                <w:lang w:eastAsia="en-IN"/>
              </w:rPr>
              <w:t>0.28</w:t>
            </w:r>
          </w:p>
        </w:tc>
        <w:tc>
          <w:tcPr>
            <w:tcW w:w="1184" w:type="dxa"/>
            <w:tcBorders>
              <w:top w:val="nil"/>
              <w:left w:val="nil"/>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2"/>
                <w:szCs w:val="22"/>
                <w:lang w:val="en-IN" w:eastAsia="en-IN"/>
              </w:rPr>
            </w:pPr>
            <w:r w:rsidRPr="004A25B7">
              <w:rPr>
                <w:rFonts w:eastAsia="Times New Roman" w:cs="Times New Roman"/>
                <w:iCs/>
                <w:color w:val="000000"/>
                <w:kern w:val="0"/>
                <w:sz w:val="22"/>
                <w:szCs w:val="22"/>
                <w:lang w:eastAsia="en-IN"/>
              </w:rPr>
              <w:t>0.24</w:t>
            </w:r>
          </w:p>
        </w:tc>
        <w:tc>
          <w:tcPr>
            <w:tcW w:w="1377" w:type="dxa"/>
            <w:tcBorders>
              <w:top w:val="nil"/>
              <w:left w:val="nil"/>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2"/>
                <w:szCs w:val="22"/>
                <w:lang w:val="en-IN" w:eastAsia="en-IN"/>
              </w:rPr>
            </w:pPr>
            <w:r w:rsidRPr="004A25B7">
              <w:rPr>
                <w:rFonts w:eastAsia="Times New Roman" w:cs="Times New Roman"/>
                <w:iCs/>
                <w:color w:val="000000"/>
                <w:kern w:val="0"/>
                <w:sz w:val="22"/>
                <w:szCs w:val="22"/>
                <w:lang w:eastAsia="en-IN"/>
              </w:rPr>
              <w:t>0.25</w:t>
            </w:r>
          </w:p>
        </w:tc>
        <w:tc>
          <w:tcPr>
            <w:tcW w:w="1417" w:type="dxa"/>
            <w:tcBorders>
              <w:top w:val="nil"/>
              <w:left w:val="nil"/>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2"/>
                <w:szCs w:val="22"/>
                <w:lang w:val="en-IN" w:eastAsia="en-IN"/>
              </w:rPr>
            </w:pPr>
            <w:r w:rsidRPr="004A25B7">
              <w:rPr>
                <w:rFonts w:eastAsia="Times New Roman" w:cs="Times New Roman"/>
                <w:iCs/>
                <w:color w:val="000000"/>
                <w:kern w:val="0"/>
                <w:sz w:val="22"/>
                <w:szCs w:val="22"/>
                <w:lang w:eastAsia="en-IN"/>
              </w:rPr>
              <w:t>0.28</w:t>
            </w:r>
          </w:p>
        </w:tc>
        <w:tc>
          <w:tcPr>
            <w:tcW w:w="1139" w:type="dxa"/>
            <w:tcBorders>
              <w:top w:val="nil"/>
              <w:left w:val="nil"/>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2"/>
                <w:szCs w:val="22"/>
                <w:lang w:val="en-IN" w:eastAsia="en-IN"/>
              </w:rPr>
            </w:pPr>
            <w:r w:rsidRPr="004A25B7">
              <w:rPr>
                <w:rFonts w:eastAsia="Times New Roman" w:cs="Times New Roman"/>
                <w:iCs/>
                <w:color w:val="000000"/>
                <w:kern w:val="0"/>
                <w:sz w:val="22"/>
                <w:szCs w:val="22"/>
                <w:lang w:eastAsia="en-IN"/>
              </w:rPr>
              <w:t>0.24</w:t>
            </w:r>
          </w:p>
        </w:tc>
        <w:tc>
          <w:tcPr>
            <w:tcW w:w="1418" w:type="dxa"/>
            <w:tcBorders>
              <w:top w:val="nil"/>
              <w:left w:val="nil"/>
              <w:bottom w:val="single" w:sz="4" w:space="0" w:color="auto"/>
              <w:right w:val="single" w:sz="4" w:space="0" w:color="auto"/>
            </w:tcBorders>
            <w:shd w:val="clear" w:color="auto" w:fill="auto"/>
            <w:noWrap/>
            <w:hideMark/>
          </w:tcPr>
          <w:p w:rsidR="004A25B7" w:rsidRPr="004A25B7" w:rsidRDefault="004A25B7" w:rsidP="003C07AF">
            <w:pPr>
              <w:jc w:val="center"/>
              <w:rPr>
                <w:rFonts w:eastAsia="Times New Roman" w:cs="Times New Roman"/>
                <w:color w:val="000000"/>
                <w:kern w:val="0"/>
                <w:sz w:val="22"/>
                <w:szCs w:val="22"/>
                <w:lang w:val="en-IN" w:eastAsia="en-IN"/>
              </w:rPr>
            </w:pPr>
            <w:r w:rsidRPr="004A25B7">
              <w:rPr>
                <w:rFonts w:eastAsia="Times New Roman" w:cs="Times New Roman"/>
                <w:iCs/>
                <w:color w:val="000000"/>
                <w:kern w:val="0"/>
                <w:sz w:val="22"/>
                <w:szCs w:val="22"/>
                <w:lang w:eastAsia="en-IN"/>
              </w:rPr>
              <w:t>0.87</w:t>
            </w:r>
          </w:p>
        </w:tc>
      </w:tr>
      <w:tr w:rsidR="004A25B7" w:rsidRPr="004A25B7" w:rsidTr="003C07AF">
        <w:trPr>
          <w:trHeight w:val="270"/>
          <w:jc w:val="center"/>
        </w:trPr>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F12392" w:rsidRDefault="004A25B7" w:rsidP="000D2E25">
            <w:pPr>
              <w:jc w:val="center"/>
              <w:rPr>
                <w:rFonts w:eastAsia="Times New Roman" w:cs="Times New Roman"/>
                <w:color w:val="000000"/>
                <w:kern w:val="0"/>
                <w:sz w:val="22"/>
                <w:szCs w:val="22"/>
                <w:lang w:val="en-IN" w:eastAsia="en-IN"/>
              </w:rPr>
            </w:pPr>
            <w:r w:rsidRPr="004A25B7">
              <w:rPr>
                <w:rFonts w:eastAsia="Times New Roman" w:cs="Times New Roman"/>
                <w:color w:val="000000"/>
                <w:kern w:val="0"/>
                <w:sz w:val="22"/>
                <w:szCs w:val="22"/>
                <w:lang w:val="en-IN" w:eastAsia="en-IN"/>
              </w:rPr>
              <w:t>The reference group is Hospitalization with COVID-19</w:t>
            </w:r>
            <w:r w:rsidRPr="004A25B7">
              <w:rPr>
                <w:rFonts w:eastAsia="Times New Roman" w:cs="Times New Roman"/>
                <w:color w:val="000000"/>
                <w:kern w:val="0"/>
                <w:sz w:val="22"/>
                <w:szCs w:val="22"/>
                <w:lang w:val="en-IN" w:eastAsia="en-IN"/>
              </w:rPr>
              <w:br/>
            </w:r>
            <w:r w:rsidR="00F12392" w:rsidRPr="004A25B7">
              <w:rPr>
                <w:rFonts w:eastAsia="Times New Roman" w:cs="Times New Roman"/>
                <w:b/>
                <w:color w:val="000000"/>
                <w:kern w:val="0"/>
                <w:sz w:val="22"/>
                <w:szCs w:val="22"/>
                <w:lang w:val="en-IN" w:eastAsia="en-IN"/>
              </w:rPr>
              <w:t>Notes:</w:t>
            </w:r>
            <w:r w:rsidR="00F12392" w:rsidRPr="004A25B7">
              <w:rPr>
                <w:rFonts w:eastAsia="Times New Roman" w:cs="Times New Roman"/>
                <w:color w:val="000000"/>
                <w:kern w:val="0"/>
                <w:sz w:val="22"/>
                <w:szCs w:val="22"/>
                <w:lang w:val="en-IN" w:eastAsia="en-IN"/>
              </w:rPr>
              <w:t xml:space="preserve"> Cluster robust standard errors (at 24-hour ABP measurement level) are reported in parenthesis</w:t>
            </w:r>
            <w:r w:rsidR="00F12392" w:rsidRPr="004A25B7">
              <w:rPr>
                <w:rFonts w:eastAsia="Times New Roman" w:cs="Times New Roman"/>
                <w:color w:val="000000"/>
                <w:kern w:val="0"/>
                <w:sz w:val="22"/>
                <w:szCs w:val="22"/>
                <w:lang w:val="en-IN" w:eastAsia="en-IN"/>
              </w:rPr>
              <w:br/>
              <w:t>Model adjusted for covariates (timing of BP [day/night], age, sex, race, smoking, weigh</w:t>
            </w:r>
            <w:r w:rsidR="00F12392">
              <w:rPr>
                <w:rFonts w:eastAsia="Times New Roman" w:cs="Times New Roman"/>
                <w:color w:val="000000"/>
                <w:kern w:val="0"/>
                <w:sz w:val="22"/>
                <w:szCs w:val="22"/>
                <w:lang w:val="en-IN" w:eastAsia="en-IN"/>
              </w:rPr>
              <w:t>t</w:t>
            </w:r>
            <w:r w:rsidR="00F12392" w:rsidRPr="004A25B7">
              <w:rPr>
                <w:rFonts w:eastAsia="Times New Roman" w:cs="Times New Roman"/>
                <w:color w:val="000000"/>
                <w:kern w:val="0"/>
                <w:sz w:val="22"/>
                <w:szCs w:val="22"/>
                <w:lang w:val="en-IN" w:eastAsia="en-IN"/>
              </w:rPr>
              <w:t>, chronic illness) and standard errors</w:t>
            </w:r>
            <w:r w:rsidR="00F12392">
              <w:rPr>
                <w:rFonts w:eastAsia="Times New Roman" w:cs="Times New Roman"/>
                <w:color w:val="000000"/>
                <w:kern w:val="0"/>
                <w:sz w:val="22"/>
                <w:szCs w:val="22"/>
                <w:lang w:val="en-IN" w:eastAsia="en-IN"/>
              </w:rPr>
              <w:t>; *</w:t>
            </w:r>
            <w:r w:rsidR="00F12392" w:rsidRPr="004A25B7">
              <w:rPr>
                <w:rFonts w:eastAsia="Times New Roman" w:cs="Times New Roman"/>
                <w:color w:val="000000"/>
                <w:kern w:val="0"/>
                <w:sz w:val="22"/>
                <w:szCs w:val="22"/>
                <w:lang w:val="en-IN" w:eastAsia="en-IN"/>
              </w:rPr>
              <w:t>p&lt;0.1</w:t>
            </w:r>
          </w:p>
          <w:p w:rsidR="004A25B7" w:rsidRPr="004A25B7" w:rsidRDefault="00F12392" w:rsidP="000D2E25">
            <w:pPr>
              <w:jc w:val="center"/>
              <w:rPr>
                <w:rFonts w:eastAsia="Times New Roman" w:cs="Times New Roman"/>
                <w:color w:val="000000"/>
                <w:kern w:val="0"/>
                <w:sz w:val="22"/>
                <w:szCs w:val="22"/>
                <w:lang w:val="en-IN" w:eastAsia="en-IN"/>
              </w:rPr>
            </w:pPr>
            <w:r>
              <w:rPr>
                <w:rFonts w:eastAsia="Times New Roman" w:cs="Times New Roman"/>
                <w:color w:val="000000"/>
                <w:kern w:val="0"/>
                <w:sz w:val="22"/>
                <w:szCs w:val="22"/>
                <w:lang w:val="en-IN" w:eastAsia="en-IN"/>
              </w:rPr>
              <w:t>SBP = systolic blood pressure; DBP= diastolic blood pressure; cSBP = central systolic blood pressure; cDBP= central diastolic blood pressure; AIx@75= augmentation index at heart rate of 75 beat per minute; SD = standard deviation</w:t>
            </w:r>
          </w:p>
        </w:tc>
      </w:tr>
    </w:tbl>
    <w:p w:rsidR="008E28A7" w:rsidRDefault="008E28A7" w:rsidP="001C35B6">
      <w:pPr>
        <w:contextualSpacing/>
        <w:mirrorIndents/>
        <w:jc w:val="both"/>
        <w:rPr>
          <w:rFonts w:cs="Times New Roman"/>
          <w:sz w:val="20"/>
          <w:szCs w:val="20"/>
        </w:rPr>
      </w:pPr>
    </w:p>
    <w:p w:rsidR="008E28A7" w:rsidRDefault="008E28A7" w:rsidP="001C35B6">
      <w:pPr>
        <w:contextualSpacing/>
        <w:mirrorIndents/>
        <w:jc w:val="both"/>
        <w:rPr>
          <w:rFonts w:cs="Times New Roman"/>
          <w:sz w:val="20"/>
          <w:szCs w:val="20"/>
        </w:rPr>
      </w:pPr>
      <w:r w:rsidRPr="008E28A7">
        <w:rPr>
          <w:rFonts w:cs="Times New Roman"/>
          <w:b/>
          <w:sz w:val="20"/>
          <w:szCs w:val="20"/>
        </w:rPr>
        <w:t>Table 2:</w:t>
      </w:r>
      <w:r w:rsidRPr="008E28A7">
        <w:rPr>
          <w:rFonts w:cs="Times New Roman"/>
          <w:sz w:val="20"/>
          <w:szCs w:val="20"/>
        </w:rPr>
        <w:t xml:space="preserve"> Multiple linear regression results for the association of 24-hour ABP parameters with COVID-19 diagnosis/hospitalization status.</w:t>
      </w:r>
    </w:p>
    <w:p w:rsidR="008E28A7" w:rsidRPr="001C35B6" w:rsidRDefault="008E28A7" w:rsidP="001C35B6">
      <w:pPr>
        <w:contextualSpacing/>
        <w:mirrorIndents/>
        <w:jc w:val="both"/>
        <w:rPr>
          <w:rFonts w:cs="Times New Roman"/>
          <w:sz w:val="20"/>
          <w:szCs w:val="20"/>
        </w:rPr>
      </w:pPr>
    </w:p>
    <w:p w:rsidR="00A00AC6" w:rsidRPr="001D572A" w:rsidRDefault="00A00AC6" w:rsidP="001C35B6">
      <w:pPr>
        <w:contextualSpacing/>
        <w:mirrorIndents/>
        <w:jc w:val="both"/>
        <w:rPr>
          <w:rFonts w:cs="Times New Roman"/>
          <w:b/>
          <w:sz w:val="20"/>
          <w:szCs w:val="20"/>
        </w:rPr>
      </w:pPr>
      <w:r w:rsidRPr="00F974B8">
        <w:rPr>
          <w:rFonts w:cs="Times New Roman"/>
          <w:b/>
          <w:sz w:val="22"/>
          <w:szCs w:val="20"/>
        </w:rPr>
        <w:t>Discussion</w:t>
      </w:r>
    </w:p>
    <w:p w:rsidR="00117BE1" w:rsidRPr="001C35B6" w:rsidRDefault="00117BE1" w:rsidP="001C35B6">
      <w:pPr>
        <w:contextualSpacing/>
        <w:mirrorIndents/>
        <w:jc w:val="both"/>
        <w:rPr>
          <w:rFonts w:cs="Times New Roman"/>
          <w:sz w:val="20"/>
          <w:szCs w:val="20"/>
        </w:rPr>
      </w:pPr>
    </w:p>
    <w:p w:rsidR="00A00AC6" w:rsidRPr="001C35B6" w:rsidRDefault="00A00AC6" w:rsidP="001C35B6">
      <w:pPr>
        <w:contextualSpacing/>
        <w:mirrorIndents/>
        <w:jc w:val="both"/>
        <w:rPr>
          <w:rFonts w:cs="Times New Roman"/>
          <w:sz w:val="20"/>
          <w:szCs w:val="20"/>
        </w:rPr>
      </w:pPr>
      <w:r w:rsidRPr="001C35B6">
        <w:rPr>
          <w:rFonts w:cs="Times New Roman"/>
          <w:sz w:val="20"/>
          <w:szCs w:val="20"/>
        </w:rPr>
        <w:t>This pilot study presents 24-hour ABP parameters in patients with and without the diagnosis of COVID-19. The main findings of the study are: (1) Patients hospitalized with COVID-19 had different pattern of 24-hour ABP parameters than COVID-19 patients with no hospitalization and those with no COVID-19; (2) COVID-19 patient with hospitalization were, on average, older than those with a COVID-19 diagnosis who were not hospitalized and those with no COVID-19 diagnosis; (3) those with COVID-19-related hospitalization reported more symptoms such as cough, fatigue, fever, hoarse voice, shortness of breath, and weakness compared to those with COVID-19 diagnosis who were not hospitalized. Patients with COVID-19 hospitalization also had a higher fatigue severity score compared to those with COVID-19 who were not hospitalized and those with no COVID-19 diagnosis.</w:t>
      </w:r>
      <w:r w:rsidR="00F455D4">
        <w:rPr>
          <w:rFonts w:cs="Times New Roman"/>
          <w:sz w:val="20"/>
          <w:szCs w:val="20"/>
        </w:rPr>
        <w:t xml:space="preserve"> </w:t>
      </w:r>
      <w:r w:rsidRPr="001C35B6">
        <w:rPr>
          <w:rFonts w:cs="Times New Roman"/>
          <w:sz w:val="20"/>
          <w:szCs w:val="20"/>
        </w:rPr>
        <w:t xml:space="preserve">Various 24-hour ABP measures, including SBP, DBP, </w:t>
      </w:r>
      <w:r w:rsidR="005D3276">
        <w:rPr>
          <w:rFonts w:cs="Times New Roman"/>
          <w:sz w:val="20"/>
          <w:szCs w:val="20"/>
        </w:rPr>
        <w:t>c</w:t>
      </w:r>
      <w:r w:rsidRPr="001C35B6">
        <w:rPr>
          <w:rFonts w:cs="Times New Roman"/>
          <w:sz w:val="20"/>
          <w:szCs w:val="20"/>
        </w:rPr>
        <w:t xml:space="preserve">SBP, </w:t>
      </w:r>
      <w:r w:rsidR="005D3276">
        <w:rPr>
          <w:rFonts w:cs="Times New Roman"/>
          <w:sz w:val="20"/>
          <w:szCs w:val="20"/>
        </w:rPr>
        <w:t>c</w:t>
      </w:r>
      <w:r w:rsidRPr="001C35B6">
        <w:rPr>
          <w:rFonts w:cs="Times New Roman"/>
          <w:sz w:val="20"/>
          <w:szCs w:val="20"/>
        </w:rPr>
        <w:t>DBP, AIx@75, and PWV, were all higher in COVID-19 patients who were hospitalized compared to those who were not, both during the day and night. The elevated 24-hour ABP measurements in hospitalized COVID-19 patients are consistent with studies indicating that severe COVID-19 can lead to cardiovascular complications</w:t>
      </w:r>
      <w:r w:rsidR="004F4643">
        <w:rPr>
          <w:rFonts w:cs="Times New Roman"/>
          <w:sz w:val="20"/>
          <w:szCs w:val="20"/>
        </w:rPr>
        <w:t xml:space="preserve"> </w:t>
      </w:r>
      <w:r w:rsidR="004F4643" w:rsidRPr="004F4643">
        <w:rPr>
          <w:rFonts w:cs="Times New Roman"/>
          <w:color w:val="FF0000"/>
          <w:sz w:val="20"/>
          <w:szCs w:val="20"/>
        </w:rPr>
        <w:t>[4,11]</w:t>
      </w:r>
      <w:r w:rsidRPr="001C35B6">
        <w:rPr>
          <w:rFonts w:cs="Times New Roman"/>
          <w:sz w:val="20"/>
          <w:szCs w:val="20"/>
        </w:rPr>
        <w:t>.</w:t>
      </w:r>
      <w:r w:rsidR="004F4643">
        <w:rPr>
          <w:rFonts w:cs="Times New Roman"/>
          <w:sz w:val="20"/>
          <w:szCs w:val="20"/>
        </w:rPr>
        <w:t xml:space="preserve"> </w:t>
      </w:r>
      <w:r w:rsidRPr="001C35B6">
        <w:rPr>
          <w:rFonts w:cs="Times New Roman"/>
          <w:sz w:val="20"/>
          <w:szCs w:val="20"/>
        </w:rPr>
        <w:t xml:space="preserve">However, the specific </w:t>
      </w:r>
      <w:r w:rsidR="00ED3AEC">
        <w:rPr>
          <w:rFonts w:cs="Times New Roman"/>
          <w:sz w:val="20"/>
          <w:szCs w:val="20"/>
        </w:rPr>
        <w:t>BP</w:t>
      </w:r>
      <w:r w:rsidRPr="001C35B6">
        <w:rPr>
          <w:rFonts w:cs="Times New Roman"/>
          <w:sz w:val="20"/>
          <w:szCs w:val="20"/>
        </w:rPr>
        <w:t xml:space="preserve"> parameters and the extent of elevation may vary between studies, potentially due to differences in patient populations or timing of the measurements. For example, a recent study investigating the impact of COVID-19 on ABP in young adults did not find a difference between COVID-19 patients and controls, but did report higher BP parameters in COVID-19 patients with more recent infection</w:t>
      </w:r>
      <w:r w:rsidR="004F4643">
        <w:rPr>
          <w:rFonts w:cs="Times New Roman"/>
          <w:sz w:val="20"/>
          <w:szCs w:val="20"/>
        </w:rPr>
        <w:t xml:space="preserve"> </w:t>
      </w:r>
      <w:r w:rsidR="004F4643" w:rsidRPr="004F4643">
        <w:rPr>
          <w:rFonts w:cs="Times New Roman"/>
          <w:color w:val="FF0000"/>
          <w:sz w:val="20"/>
          <w:szCs w:val="20"/>
        </w:rPr>
        <w:t>[8]</w:t>
      </w:r>
      <w:r w:rsidRPr="001C35B6">
        <w:rPr>
          <w:rFonts w:cs="Times New Roman"/>
          <w:sz w:val="20"/>
          <w:szCs w:val="20"/>
        </w:rPr>
        <w:t>. After adjusting for various factors like day vs. night BP, age, sex, race, smoking,</w:t>
      </w:r>
      <w:r w:rsidR="00ED3AEC">
        <w:rPr>
          <w:rFonts w:cs="Times New Roman"/>
          <w:sz w:val="20"/>
          <w:szCs w:val="20"/>
        </w:rPr>
        <w:t xml:space="preserve"> weight</w:t>
      </w:r>
      <w:r w:rsidRPr="001C35B6">
        <w:rPr>
          <w:rFonts w:cs="Times New Roman"/>
          <w:sz w:val="20"/>
          <w:szCs w:val="20"/>
        </w:rPr>
        <w:t xml:space="preserve"> and the presence of chronic illness, patients with COVID-19 diagnosis not resulting in hospitalization had significantly lower AIx@75 compared to those hospitalized with COVID-19. The significant difference in AIx@75 between hospitalized and non-hospitalized COVID-19 patients, even after adjusting for various factors, is a noteworthy finding. It suggests that this parameter may be a potential predictor of the severity of cardiovascular outcomes related to COVID-19. AIx@75 has been previously reported to be associated with increased risk of CVD in hemodialysis</w:t>
      </w:r>
      <w:r w:rsidR="004F4643">
        <w:rPr>
          <w:rFonts w:cs="Times New Roman"/>
          <w:sz w:val="20"/>
          <w:szCs w:val="20"/>
        </w:rPr>
        <w:t xml:space="preserve"> </w:t>
      </w:r>
      <w:r w:rsidRPr="001C35B6">
        <w:rPr>
          <w:rFonts w:cs="Times New Roman"/>
          <w:sz w:val="20"/>
          <w:szCs w:val="20"/>
        </w:rPr>
        <w:t xml:space="preserve">patients </w:t>
      </w:r>
      <w:r w:rsidR="00BB6DA6" w:rsidRPr="004F4643">
        <w:rPr>
          <w:rFonts w:cs="Times New Roman"/>
          <w:color w:val="FF0000"/>
          <w:sz w:val="20"/>
          <w:szCs w:val="20"/>
        </w:rPr>
        <w:t>[</w:t>
      </w:r>
      <w:r w:rsidR="00BB6DA6" w:rsidRPr="004F4643">
        <w:rPr>
          <w:rFonts w:cs="Times New Roman"/>
          <w:noProof/>
          <w:color w:val="FF0000"/>
          <w:sz w:val="20"/>
          <w:szCs w:val="20"/>
        </w:rPr>
        <w:t>23]</w:t>
      </w:r>
      <w:r w:rsidR="00BB6DA6" w:rsidRPr="004F4643">
        <w:rPr>
          <w:rFonts w:cs="Times New Roman"/>
          <w:color w:val="FF0000"/>
          <w:sz w:val="20"/>
          <w:szCs w:val="20"/>
        </w:rPr>
        <w:t xml:space="preserve"> </w:t>
      </w:r>
      <w:r w:rsidRPr="001C35B6">
        <w:rPr>
          <w:rFonts w:cs="Times New Roman"/>
          <w:sz w:val="20"/>
          <w:szCs w:val="20"/>
        </w:rPr>
        <w:t>and improved cardiovascular risk prediction</w:t>
      </w:r>
      <w:r w:rsidR="004F4643">
        <w:rPr>
          <w:rFonts w:cs="Times New Roman"/>
          <w:sz w:val="20"/>
          <w:szCs w:val="20"/>
        </w:rPr>
        <w:t xml:space="preserve"> </w:t>
      </w:r>
      <w:r w:rsidRPr="001C35B6">
        <w:rPr>
          <w:rFonts w:cs="Times New Roman"/>
          <w:sz w:val="20"/>
          <w:szCs w:val="20"/>
        </w:rPr>
        <w:t>in patients at low cardiovascular risk</w:t>
      </w:r>
      <w:r w:rsidR="00EE44C5">
        <w:rPr>
          <w:rFonts w:cs="Times New Roman"/>
          <w:sz w:val="20"/>
          <w:szCs w:val="20"/>
        </w:rPr>
        <w:t xml:space="preserve"> </w:t>
      </w:r>
      <w:r w:rsidR="00EE44C5" w:rsidRPr="004F4643">
        <w:rPr>
          <w:rFonts w:cs="Times New Roman"/>
          <w:color w:val="FF0000"/>
          <w:sz w:val="20"/>
          <w:szCs w:val="20"/>
        </w:rPr>
        <w:t>[</w:t>
      </w:r>
      <w:r w:rsidR="00EE44C5" w:rsidRPr="004F4643">
        <w:rPr>
          <w:rFonts w:cs="Times New Roman"/>
          <w:noProof/>
          <w:color w:val="FF0000"/>
          <w:sz w:val="20"/>
          <w:szCs w:val="20"/>
        </w:rPr>
        <w:t>24]</w:t>
      </w:r>
      <w:r w:rsidRPr="001C35B6">
        <w:rPr>
          <w:rFonts w:cs="Times New Roman"/>
          <w:sz w:val="20"/>
          <w:szCs w:val="20"/>
        </w:rPr>
        <w:t>. A study comparing 24-hour ABP among patients hospitalized with COVID-19 and control groups with known history of hypertension but no history of COVID-19 infection reported significantly higher average 24-hour SBP and DBP, average night times SBP and DBP, and average daytime SBP among those with COVID-19 hospitalization than hypertensive controls with no history of COVID-19 infection. Another study reported increased new-onset non-dipper hypertension in patients with history of COVID-19 hospitalization</w:t>
      </w:r>
      <w:r w:rsidR="004F4643">
        <w:rPr>
          <w:rFonts w:cs="Times New Roman"/>
          <w:sz w:val="20"/>
          <w:szCs w:val="20"/>
        </w:rPr>
        <w:t xml:space="preserve"> </w:t>
      </w:r>
      <w:r w:rsidR="004F4643" w:rsidRPr="004F4643">
        <w:rPr>
          <w:rFonts w:cs="Times New Roman"/>
          <w:color w:val="FF0000"/>
          <w:sz w:val="20"/>
          <w:szCs w:val="20"/>
        </w:rPr>
        <w:t>[11]</w:t>
      </w:r>
      <w:r w:rsidRPr="001C35B6">
        <w:rPr>
          <w:rFonts w:cs="Times New Roman"/>
          <w:sz w:val="20"/>
          <w:szCs w:val="20"/>
        </w:rPr>
        <w:t xml:space="preserve">. </w:t>
      </w:r>
    </w:p>
    <w:p w:rsidR="00117BE1" w:rsidRPr="001C35B6" w:rsidRDefault="00117BE1" w:rsidP="001C35B6">
      <w:pPr>
        <w:contextualSpacing/>
        <w:mirrorIndents/>
        <w:jc w:val="both"/>
        <w:rPr>
          <w:rFonts w:cs="Times New Roman"/>
          <w:sz w:val="20"/>
          <w:szCs w:val="20"/>
        </w:rPr>
      </w:pPr>
    </w:p>
    <w:p w:rsidR="00A00AC6" w:rsidRPr="001C35B6" w:rsidRDefault="00A00AC6" w:rsidP="001C35B6">
      <w:pPr>
        <w:contextualSpacing/>
        <w:mirrorIndents/>
        <w:jc w:val="both"/>
        <w:rPr>
          <w:rFonts w:cs="Times New Roman"/>
          <w:sz w:val="20"/>
          <w:szCs w:val="20"/>
        </w:rPr>
      </w:pPr>
      <w:r w:rsidRPr="001C35B6">
        <w:rPr>
          <w:rFonts w:cs="Times New Roman"/>
          <w:sz w:val="20"/>
          <w:szCs w:val="20"/>
        </w:rPr>
        <w:t>In the current study, hospitalized patients with the diagnosis of COVID-19 were, on average, older than those with a COVID-19 diagnosis who were not hospitalized and those with no COVID-19 diagnosis. Other studies have also reported that hospitalized COVID-19 patients tend to be o</w:t>
      </w:r>
      <w:r w:rsidR="004B5972">
        <w:rPr>
          <w:rFonts w:cs="Times New Roman"/>
          <w:sz w:val="20"/>
          <w:szCs w:val="20"/>
        </w:rPr>
        <w:t xml:space="preserve">lder than non-hospitalized ones </w:t>
      </w:r>
      <w:r w:rsidR="004B5972" w:rsidRPr="004B5972">
        <w:rPr>
          <w:rFonts w:cs="Times New Roman"/>
          <w:color w:val="FF0000"/>
          <w:sz w:val="20"/>
          <w:szCs w:val="20"/>
        </w:rPr>
        <w:t>[</w:t>
      </w:r>
      <w:r w:rsidRPr="004B5972">
        <w:rPr>
          <w:rFonts w:cs="Times New Roman"/>
          <w:noProof/>
          <w:color w:val="FF0000"/>
          <w:sz w:val="20"/>
          <w:szCs w:val="20"/>
        </w:rPr>
        <w:t>25,26</w:t>
      </w:r>
      <w:r w:rsidR="004B5972" w:rsidRPr="004B5972">
        <w:rPr>
          <w:rFonts w:cs="Times New Roman"/>
          <w:noProof/>
          <w:color w:val="FF0000"/>
          <w:sz w:val="20"/>
          <w:szCs w:val="20"/>
        </w:rPr>
        <w:t>]</w:t>
      </w:r>
      <w:r w:rsidR="004B5972">
        <w:rPr>
          <w:rFonts w:cs="Times New Roman"/>
          <w:sz w:val="20"/>
          <w:szCs w:val="20"/>
        </w:rPr>
        <w:t>.</w:t>
      </w:r>
      <w:r w:rsidRPr="001C35B6">
        <w:rPr>
          <w:rFonts w:cs="Times New Roman"/>
          <w:sz w:val="20"/>
          <w:szCs w:val="20"/>
        </w:rPr>
        <w:t xml:space="preserve">This finding is </w:t>
      </w:r>
      <w:r w:rsidRPr="001C35B6">
        <w:rPr>
          <w:rFonts w:cs="Times New Roman"/>
          <w:sz w:val="20"/>
          <w:szCs w:val="20"/>
        </w:rPr>
        <w:lastRenderedPageBreak/>
        <w:t>consistent with the general understanding that older individuals are at a higher risk of severe disease and hospitalization due to COVID-19.The higher prevalence of symptoms such as cough, fatigue, fever, hoarse voice, shortness of breath, and weakness in hospitalized Covid-19 patients aligns with findings from various studies, emphasizing that severe cases of COVID-19 often present with a m</w:t>
      </w:r>
      <w:r w:rsidR="004B5972">
        <w:rPr>
          <w:rFonts w:cs="Times New Roman"/>
          <w:sz w:val="20"/>
          <w:szCs w:val="20"/>
        </w:rPr>
        <w:t xml:space="preserve">ore extensive range of symptoms </w:t>
      </w:r>
      <w:r w:rsidR="004B5972" w:rsidRPr="004B5972">
        <w:rPr>
          <w:rFonts w:cs="Times New Roman"/>
          <w:color w:val="FF0000"/>
          <w:sz w:val="20"/>
          <w:szCs w:val="20"/>
        </w:rPr>
        <w:t>[</w:t>
      </w:r>
      <w:r w:rsidRPr="004B5972">
        <w:rPr>
          <w:rFonts w:cs="Times New Roman"/>
          <w:noProof/>
          <w:color w:val="FF0000"/>
          <w:sz w:val="20"/>
          <w:szCs w:val="20"/>
        </w:rPr>
        <w:t>27,28</w:t>
      </w:r>
      <w:r w:rsidR="004B5972" w:rsidRPr="004B5972">
        <w:rPr>
          <w:rFonts w:cs="Times New Roman"/>
          <w:noProof/>
          <w:color w:val="FF0000"/>
          <w:sz w:val="20"/>
          <w:szCs w:val="20"/>
        </w:rPr>
        <w:t>]</w:t>
      </w:r>
      <w:r w:rsidR="004B5972">
        <w:rPr>
          <w:rFonts w:cs="Times New Roman"/>
          <w:sz w:val="20"/>
          <w:szCs w:val="20"/>
        </w:rPr>
        <w:t xml:space="preserve">. </w:t>
      </w:r>
      <w:r w:rsidRPr="001C35B6">
        <w:rPr>
          <w:rFonts w:cs="Times New Roman"/>
          <w:sz w:val="20"/>
          <w:szCs w:val="20"/>
        </w:rPr>
        <w:t>However, the specific symptoms observed may vary across studies.</w:t>
      </w:r>
      <w:r w:rsidR="009100B7">
        <w:rPr>
          <w:rFonts w:cs="Times New Roman"/>
          <w:sz w:val="20"/>
          <w:szCs w:val="20"/>
        </w:rPr>
        <w:t xml:space="preserve"> </w:t>
      </w:r>
      <w:r w:rsidRPr="001C35B6">
        <w:rPr>
          <w:rFonts w:cs="Times New Roman"/>
          <w:sz w:val="20"/>
          <w:szCs w:val="20"/>
        </w:rPr>
        <w:t>A significant proportion (75%) of COVID-19 patients who were hospitalized reported an illness duration of more than 3 weeks, in contrast to only 37.5% of those not hospitalized. The extended illness duration observed in hospitalized patients, with 75% experiencing more than 3 weeks of illness, is in line with some literature suggesting that severe COVID-19 cases may have a longer recovery period</w:t>
      </w:r>
      <w:r w:rsidR="004B5972">
        <w:rPr>
          <w:rFonts w:cs="Times New Roman"/>
          <w:sz w:val="20"/>
          <w:szCs w:val="20"/>
        </w:rPr>
        <w:t xml:space="preserve"> </w:t>
      </w:r>
      <w:r w:rsidR="004B5972" w:rsidRPr="004B5972">
        <w:rPr>
          <w:rFonts w:cs="Times New Roman"/>
          <w:color w:val="FF0000"/>
          <w:sz w:val="20"/>
          <w:szCs w:val="20"/>
        </w:rPr>
        <w:t>[</w:t>
      </w:r>
      <w:r w:rsidRPr="004B5972">
        <w:rPr>
          <w:rFonts w:cs="Times New Roman"/>
          <w:noProof/>
          <w:color w:val="FF0000"/>
          <w:sz w:val="20"/>
          <w:szCs w:val="20"/>
        </w:rPr>
        <w:t>27,29</w:t>
      </w:r>
      <w:r w:rsidR="004B5972" w:rsidRPr="004B5972">
        <w:rPr>
          <w:rFonts w:cs="Times New Roman"/>
          <w:noProof/>
          <w:color w:val="FF0000"/>
          <w:sz w:val="20"/>
          <w:szCs w:val="20"/>
        </w:rPr>
        <w:t>]</w:t>
      </w:r>
      <w:r w:rsidR="004B5972">
        <w:rPr>
          <w:rFonts w:cs="Times New Roman"/>
          <w:noProof/>
          <w:sz w:val="20"/>
          <w:szCs w:val="20"/>
          <w:vertAlign w:val="superscript"/>
        </w:rPr>
        <w:t>.</w:t>
      </w:r>
      <w:r w:rsidRPr="001C35B6">
        <w:rPr>
          <w:rFonts w:cs="Times New Roman"/>
          <w:sz w:val="20"/>
          <w:szCs w:val="20"/>
        </w:rPr>
        <w:t xml:space="preserve"> Generally, a fatigue score of 36 or more is a score that indicates severe fatigue and hence warrants fu</w:t>
      </w:r>
      <w:r w:rsidR="004B5972">
        <w:rPr>
          <w:rFonts w:cs="Times New Roman"/>
          <w:sz w:val="20"/>
          <w:szCs w:val="20"/>
        </w:rPr>
        <w:t xml:space="preserve">rther evaluation by a clinician </w:t>
      </w:r>
      <w:r w:rsidR="004B5972" w:rsidRPr="004B5972">
        <w:rPr>
          <w:rFonts w:cs="Times New Roman"/>
          <w:color w:val="FF0000"/>
          <w:sz w:val="20"/>
          <w:szCs w:val="20"/>
        </w:rPr>
        <w:t>[</w:t>
      </w:r>
      <w:r w:rsidRPr="004B5972">
        <w:rPr>
          <w:rFonts w:cs="Times New Roman"/>
          <w:noProof/>
          <w:color w:val="FF0000"/>
          <w:sz w:val="20"/>
          <w:szCs w:val="20"/>
        </w:rPr>
        <w:t>30</w:t>
      </w:r>
      <w:r w:rsidR="004B5972" w:rsidRPr="004B5972">
        <w:rPr>
          <w:rFonts w:cs="Times New Roman"/>
          <w:noProof/>
          <w:color w:val="FF0000"/>
          <w:sz w:val="20"/>
          <w:szCs w:val="20"/>
        </w:rPr>
        <w:t>]</w:t>
      </w:r>
      <w:r w:rsidR="004B5972">
        <w:rPr>
          <w:rFonts w:cs="Times New Roman"/>
          <w:sz w:val="20"/>
          <w:szCs w:val="20"/>
        </w:rPr>
        <w:t>.</w:t>
      </w:r>
      <w:r w:rsidRPr="001C35B6">
        <w:rPr>
          <w:rFonts w:cs="Times New Roman"/>
          <w:sz w:val="20"/>
          <w:szCs w:val="20"/>
        </w:rPr>
        <w:t>The higher fatigue severity score in hospitalized COVID-19 patients is in line with reports of persistent fatigue as a post-COVID symptom in some individuals</w:t>
      </w:r>
      <w:r w:rsidR="004B5972">
        <w:rPr>
          <w:rFonts w:cs="Times New Roman"/>
          <w:sz w:val="20"/>
          <w:szCs w:val="20"/>
        </w:rPr>
        <w:t xml:space="preserve"> </w:t>
      </w:r>
      <w:r w:rsidR="004B5972" w:rsidRPr="004B5972">
        <w:rPr>
          <w:rFonts w:cs="Times New Roman"/>
          <w:color w:val="FF0000"/>
          <w:sz w:val="20"/>
          <w:szCs w:val="20"/>
        </w:rPr>
        <w:t>[</w:t>
      </w:r>
      <w:r w:rsidRPr="004B5972">
        <w:rPr>
          <w:rFonts w:cs="Times New Roman"/>
          <w:noProof/>
          <w:color w:val="FF0000"/>
          <w:sz w:val="20"/>
          <w:szCs w:val="20"/>
        </w:rPr>
        <w:t>31-33</w:t>
      </w:r>
      <w:r w:rsidR="004B5972" w:rsidRPr="004B5972">
        <w:rPr>
          <w:rFonts w:cs="Times New Roman"/>
          <w:noProof/>
          <w:color w:val="FF0000"/>
          <w:sz w:val="20"/>
          <w:szCs w:val="20"/>
        </w:rPr>
        <w:t>]</w:t>
      </w:r>
      <w:r w:rsidR="004B5972">
        <w:rPr>
          <w:rFonts w:cs="Times New Roman"/>
          <w:sz w:val="20"/>
          <w:szCs w:val="20"/>
        </w:rPr>
        <w:t xml:space="preserve">. </w:t>
      </w:r>
      <w:r w:rsidRPr="001C35B6">
        <w:rPr>
          <w:rFonts w:cs="Times New Roman"/>
          <w:sz w:val="20"/>
          <w:szCs w:val="20"/>
        </w:rPr>
        <w:t>The degree of fatigue can differ between studies, possibly due to variations in measurement methods or patient demographics.</w:t>
      </w:r>
    </w:p>
    <w:p w:rsidR="00117BE1" w:rsidRPr="001C35B6" w:rsidRDefault="00117BE1" w:rsidP="001C35B6">
      <w:pPr>
        <w:contextualSpacing/>
        <w:mirrorIndents/>
        <w:jc w:val="both"/>
        <w:rPr>
          <w:rFonts w:cs="Times New Roman"/>
          <w:sz w:val="20"/>
          <w:szCs w:val="20"/>
        </w:rPr>
      </w:pPr>
    </w:p>
    <w:p w:rsidR="00A00AC6" w:rsidRDefault="00A00AC6" w:rsidP="001C35B6">
      <w:pPr>
        <w:contextualSpacing/>
        <w:mirrorIndents/>
        <w:jc w:val="both"/>
        <w:rPr>
          <w:rFonts w:cs="Times New Roman"/>
          <w:sz w:val="20"/>
          <w:szCs w:val="20"/>
        </w:rPr>
      </w:pPr>
      <w:r w:rsidRPr="001C35B6">
        <w:rPr>
          <w:rFonts w:cs="Times New Roman"/>
          <w:sz w:val="20"/>
          <w:szCs w:val="20"/>
        </w:rPr>
        <w:t>Despite being one of the first few studies investigating 24-hour ABP parameters in patients with COVID-19 with different levels of severity, the study has some limitations worth mentioning. The sample size was small, and the study used convenient sampling, potentially limiting the generalizability of the findings. Additionally, the presence and absence of chronic conditions was dete</w:t>
      </w:r>
      <w:r w:rsidR="00117BE1" w:rsidRPr="001C35B6">
        <w:rPr>
          <w:rFonts w:cs="Times New Roman"/>
          <w:sz w:val="20"/>
          <w:szCs w:val="20"/>
        </w:rPr>
        <w:t xml:space="preserve">rmined based on self-reporting </w:t>
      </w:r>
      <w:r w:rsidRPr="001C35B6">
        <w:rPr>
          <w:rFonts w:cs="Times New Roman"/>
          <w:sz w:val="20"/>
          <w:szCs w:val="20"/>
        </w:rPr>
        <w:t>and therefore is prone to bias.</w:t>
      </w:r>
      <w:r w:rsidR="00117BE1" w:rsidRPr="001C35B6">
        <w:rPr>
          <w:rFonts w:cs="Times New Roman"/>
          <w:sz w:val="20"/>
          <w:szCs w:val="20"/>
        </w:rPr>
        <w:t xml:space="preserve"> </w:t>
      </w:r>
      <w:r w:rsidRPr="001C35B6">
        <w:rPr>
          <w:rFonts w:cs="Times New Roman"/>
          <w:sz w:val="20"/>
          <w:szCs w:val="20"/>
        </w:rPr>
        <w:t xml:space="preserve">Overall, our findings indicate that individuals hospitalized with COVID-19 exhibit significant differences in terms of age, symptom severity, illness duration, </w:t>
      </w:r>
      <w:r w:rsidR="0091379F">
        <w:rPr>
          <w:rFonts w:cs="Times New Roman"/>
          <w:sz w:val="20"/>
          <w:szCs w:val="20"/>
        </w:rPr>
        <w:t>BP</w:t>
      </w:r>
      <w:r w:rsidRPr="001C35B6">
        <w:rPr>
          <w:rFonts w:cs="Times New Roman"/>
          <w:sz w:val="20"/>
          <w:szCs w:val="20"/>
        </w:rPr>
        <w:t xml:space="preserve"> measurements, and fatigue severity compared to those with a COVID-19 diagnosis not resulting in hospitalization. The specific significance of these differences, particularly the elevated AIx@75 in the non-hospitalized group after adjusting for covariates and potential correlation, suggests potential implications for clinical management and patient care. Twenty four-hour ABP monitoring profiles, especially AIx@75 might provide an early sign of CVD in patients hospitalized with COVID-19 infection. Our results should serve as preliminary data to help set parameters used in monitoring cardiovascular health post-COVID-19 infection and assist in designing a larger study. ABP monitoring may prove beneficial as a non-invasive approach to predict the long-term cardiovascular effects of COVID-19 infection</w:t>
      </w:r>
      <w:r w:rsidR="004903A4">
        <w:rPr>
          <w:rFonts w:cs="Times New Roman"/>
          <w:sz w:val="20"/>
          <w:szCs w:val="20"/>
        </w:rPr>
        <w:t xml:space="preserve"> </w:t>
      </w:r>
      <w:r w:rsidR="004903A4" w:rsidRPr="00E3192E">
        <w:rPr>
          <w:rFonts w:cs="Times New Roman"/>
          <w:color w:val="FF0000"/>
          <w:sz w:val="20"/>
          <w:szCs w:val="20"/>
        </w:rPr>
        <w:t>[8]</w:t>
      </w:r>
      <w:r w:rsidRPr="001C35B6">
        <w:rPr>
          <w:rFonts w:cs="Times New Roman"/>
          <w:sz w:val="20"/>
          <w:szCs w:val="20"/>
        </w:rPr>
        <w:t xml:space="preserve">. A large-scale study is warranted to confirm the findings of our study. In summary, this study contributes to the growing body of literature on COVID-19 by highlighting key differences between hospitalized and non-hospitalized patients, particularly in terms of age, symptoms, illness duration, and 24-hour ABP measurements. </w:t>
      </w:r>
    </w:p>
    <w:p w:rsidR="00063978" w:rsidRDefault="00063978" w:rsidP="001C35B6">
      <w:pPr>
        <w:contextualSpacing/>
        <w:mirrorIndents/>
        <w:jc w:val="both"/>
        <w:rPr>
          <w:rFonts w:cs="Times New Roman"/>
          <w:sz w:val="20"/>
          <w:szCs w:val="20"/>
        </w:rPr>
      </w:pPr>
    </w:p>
    <w:p w:rsidR="007A74C8" w:rsidRPr="007759C7" w:rsidRDefault="007A74C8" w:rsidP="00063978">
      <w:pPr>
        <w:contextualSpacing/>
        <w:mirrorIndents/>
        <w:jc w:val="both"/>
        <w:rPr>
          <w:rFonts w:cs="Times New Roman"/>
          <w:b/>
          <w:sz w:val="20"/>
          <w:szCs w:val="20"/>
        </w:rPr>
      </w:pPr>
      <w:r w:rsidRPr="007308FE">
        <w:rPr>
          <w:rFonts w:cs="Times New Roman"/>
          <w:b/>
          <w:sz w:val="22"/>
          <w:szCs w:val="20"/>
        </w:rPr>
        <w:t>Funding</w:t>
      </w:r>
    </w:p>
    <w:p w:rsidR="007A74C8" w:rsidRDefault="007A74C8" w:rsidP="00063978">
      <w:pPr>
        <w:contextualSpacing/>
        <w:mirrorIndents/>
        <w:jc w:val="both"/>
        <w:rPr>
          <w:rFonts w:cs="Times New Roman"/>
          <w:sz w:val="20"/>
          <w:szCs w:val="20"/>
        </w:rPr>
      </w:pPr>
    </w:p>
    <w:p w:rsidR="00063978" w:rsidRDefault="00063978" w:rsidP="00063978">
      <w:pPr>
        <w:contextualSpacing/>
        <w:mirrorIndents/>
        <w:jc w:val="both"/>
        <w:rPr>
          <w:rFonts w:cs="Times New Roman"/>
          <w:sz w:val="20"/>
          <w:szCs w:val="20"/>
        </w:rPr>
      </w:pPr>
      <w:r w:rsidRPr="00063978">
        <w:rPr>
          <w:rFonts w:cs="Times New Roman"/>
          <w:sz w:val="20"/>
          <w:szCs w:val="20"/>
        </w:rPr>
        <w:t>This study is</w:t>
      </w:r>
      <w:r w:rsidR="00623A69">
        <w:rPr>
          <w:rFonts w:cs="Times New Roman"/>
          <w:sz w:val="20"/>
          <w:szCs w:val="20"/>
        </w:rPr>
        <w:t xml:space="preserve"> partially funded by the Oak Rid</w:t>
      </w:r>
      <w:r w:rsidRPr="00063978">
        <w:rPr>
          <w:rFonts w:cs="Times New Roman"/>
          <w:sz w:val="20"/>
          <w:szCs w:val="20"/>
        </w:rPr>
        <w:t xml:space="preserve">ge </w:t>
      </w:r>
      <w:r w:rsidR="00304BDA" w:rsidRPr="00063978">
        <w:rPr>
          <w:rFonts w:cs="Times New Roman"/>
          <w:sz w:val="20"/>
          <w:szCs w:val="20"/>
        </w:rPr>
        <w:t>Associated</w:t>
      </w:r>
      <w:r w:rsidRPr="00063978">
        <w:rPr>
          <w:rFonts w:cs="Times New Roman"/>
          <w:sz w:val="20"/>
          <w:szCs w:val="20"/>
        </w:rPr>
        <w:t xml:space="preserve"> Universities </w:t>
      </w:r>
      <w:r w:rsidR="00304BDA" w:rsidRPr="00063978">
        <w:rPr>
          <w:rFonts w:cs="Times New Roman"/>
          <w:sz w:val="20"/>
          <w:szCs w:val="20"/>
        </w:rPr>
        <w:t>through</w:t>
      </w:r>
      <w:r w:rsidRPr="00063978">
        <w:rPr>
          <w:rFonts w:cs="Times New Roman"/>
          <w:sz w:val="20"/>
          <w:szCs w:val="20"/>
        </w:rPr>
        <w:t xml:space="preserve"> the 2021 Ralph E. Powe Junior Faculty Enhancement Award in Engineering and </w:t>
      </w:r>
      <w:r w:rsidR="00304BDA" w:rsidRPr="00063978">
        <w:rPr>
          <w:rFonts w:cs="Times New Roman"/>
          <w:sz w:val="20"/>
          <w:szCs w:val="20"/>
        </w:rPr>
        <w:t>Applied</w:t>
      </w:r>
      <w:r w:rsidRPr="00063978">
        <w:rPr>
          <w:rFonts w:cs="Times New Roman"/>
          <w:sz w:val="20"/>
          <w:szCs w:val="20"/>
        </w:rPr>
        <w:t xml:space="preserve"> Science.</w:t>
      </w:r>
    </w:p>
    <w:p w:rsidR="007308FE" w:rsidRPr="00063978" w:rsidRDefault="007308FE" w:rsidP="00063978">
      <w:pPr>
        <w:contextualSpacing/>
        <w:mirrorIndents/>
        <w:jc w:val="both"/>
        <w:rPr>
          <w:rFonts w:cs="Times New Roman"/>
          <w:sz w:val="20"/>
          <w:szCs w:val="20"/>
        </w:rPr>
      </w:pPr>
    </w:p>
    <w:p w:rsidR="00493F11" w:rsidRPr="006F4E32" w:rsidRDefault="00493F11" w:rsidP="00063978">
      <w:pPr>
        <w:contextualSpacing/>
        <w:mirrorIndents/>
        <w:jc w:val="both"/>
        <w:rPr>
          <w:rFonts w:cs="Times New Roman"/>
          <w:b/>
          <w:sz w:val="20"/>
          <w:szCs w:val="20"/>
        </w:rPr>
      </w:pPr>
      <w:r w:rsidRPr="006F4E32">
        <w:rPr>
          <w:rFonts w:cs="Times New Roman"/>
          <w:b/>
          <w:sz w:val="22"/>
          <w:szCs w:val="20"/>
        </w:rPr>
        <w:t xml:space="preserve">Registration </w:t>
      </w:r>
      <w:r w:rsidR="006F4E32" w:rsidRPr="006F4E32">
        <w:rPr>
          <w:rFonts w:cs="Times New Roman"/>
          <w:b/>
          <w:sz w:val="22"/>
          <w:szCs w:val="20"/>
        </w:rPr>
        <w:t>Number</w:t>
      </w:r>
    </w:p>
    <w:p w:rsidR="00493F11" w:rsidRDefault="00493F11" w:rsidP="00063978">
      <w:pPr>
        <w:contextualSpacing/>
        <w:mirrorIndents/>
        <w:jc w:val="both"/>
        <w:rPr>
          <w:rFonts w:cs="Times New Roman"/>
          <w:sz w:val="20"/>
          <w:szCs w:val="20"/>
        </w:rPr>
      </w:pPr>
    </w:p>
    <w:p w:rsidR="00063978" w:rsidRPr="00063978" w:rsidRDefault="00063978" w:rsidP="00063978">
      <w:pPr>
        <w:contextualSpacing/>
        <w:mirrorIndents/>
        <w:jc w:val="both"/>
        <w:rPr>
          <w:rFonts w:cs="Times New Roman"/>
          <w:sz w:val="20"/>
          <w:szCs w:val="20"/>
        </w:rPr>
      </w:pPr>
      <w:r w:rsidRPr="00063978">
        <w:rPr>
          <w:rFonts w:cs="Times New Roman"/>
          <w:sz w:val="20"/>
          <w:szCs w:val="20"/>
        </w:rPr>
        <w:t>This study doesn’t qualify as a clinical trial and therefore we do not have a registration number</w:t>
      </w:r>
    </w:p>
    <w:p w:rsidR="00063978" w:rsidRPr="00063978" w:rsidRDefault="00063978" w:rsidP="00063978">
      <w:pPr>
        <w:contextualSpacing/>
        <w:mirrorIndents/>
        <w:jc w:val="both"/>
        <w:rPr>
          <w:rFonts w:cs="Times New Roman"/>
          <w:sz w:val="20"/>
          <w:szCs w:val="20"/>
        </w:rPr>
      </w:pPr>
    </w:p>
    <w:p w:rsidR="00FA4E0A" w:rsidRPr="00392093" w:rsidRDefault="00FA4E0A" w:rsidP="00063978">
      <w:pPr>
        <w:contextualSpacing/>
        <w:mirrorIndents/>
        <w:jc w:val="both"/>
        <w:rPr>
          <w:rFonts w:cs="Times New Roman"/>
          <w:b/>
          <w:sz w:val="20"/>
          <w:szCs w:val="20"/>
        </w:rPr>
      </w:pPr>
      <w:r w:rsidRPr="00392093">
        <w:rPr>
          <w:rFonts w:cs="Times New Roman"/>
          <w:b/>
          <w:sz w:val="22"/>
          <w:szCs w:val="20"/>
        </w:rPr>
        <w:t>Author’s Contributions</w:t>
      </w:r>
    </w:p>
    <w:p w:rsidR="00FA4E0A" w:rsidRDefault="00FA4E0A" w:rsidP="00063978">
      <w:pPr>
        <w:contextualSpacing/>
        <w:mirrorIndents/>
        <w:jc w:val="both"/>
        <w:rPr>
          <w:rFonts w:cs="Times New Roman"/>
          <w:sz w:val="20"/>
          <w:szCs w:val="20"/>
        </w:rPr>
      </w:pPr>
    </w:p>
    <w:p w:rsidR="00063978" w:rsidRDefault="00063978" w:rsidP="00063978">
      <w:pPr>
        <w:contextualSpacing/>
        <w:mirrorIndents/>
        <w:jc w:val="both"/>
        <w:rPr>
          <w:rFonts w:cs="Times New Roman"/>
          <w:sz w:val="20"/>
          <w:szCs w:val="20"/>
        </w:rPr>
      </w:pPr>
      <w:r w:rsidRPr="00063978">
        <w:rPr>
          <w:rFonts w:cs="Times New Roman"/>
          <w:sz w:val="20"/>
          <w:szCs w:val="20"/>
        </w:rPr>
        <w:t>MFM and HTH (Conception and design of the study, acquisition of data, analysis and interpretation of data, drafting, revising, an</w:t>
      </w:r>
      <w:r w:rsidR="0078372B">
        <w:rPr>
          <w:rFonts w:cs="Times New Roman"/>
          <w:sz w:val="20"/>
          <w:szCs w:val="20"/>
        </w:rPr>
        <w:t xml:space="preserve">d final approval of the </w:t>
      </w:r>
      <w:proofErr w:type="gramStart"/>
      <w:r w:rsidR="0078372B">
        <w:rPr>
          <w:rFonts w:cs="Times New Roman"/>
          <w:sz w:val="20"/>
          <w:szCs w:val="20"/>
        </w:rPr>
        <w:t>article</w:t>
      </w:r>
      <w:bookmarkStart w:id="4" w:name="_GoBack"/>
      <w:bookmarkEnd w:id="4"/>
      <w:proofErr w:type="gramEnd"/>
      <w:r w:rsidRPr="00063978">
        <w:rPr>
          <w:rFonts w:cs="Times New Roman"/>
          <w:sz w:val="20"/>
          <w:szCs w:val="20"/>
        </w:rPr>
        <w:t>);  SA, JM, CP, and JHE (acquisition of data, analysis and interpretation of data, drafting, revising, and final approval of the article)</w:t>
      </w:r>
    </w:p>
    <w:p w:rsidR="004A45CF" w:rsidRDefault="004A45CF" w:rsidP="00063978">
      <w:pPr>
        <w:contextualSpacing/>
        <w:mirrorIndents/>
        <w:jc w:val="both"/>
        <w:rPr>
          <w:rFonts w:cs="Times New Roman"/>
          <w:sz w:val="20"/>
          <w:szCs w:val="20"/>
        </w:rPr>
      </w:pPr>
    </w:p>
    <w:p w:rsidR="004A45CF" w:rsidRPr="002D6377" w:rsidRDefault="004A45CF" w:rsidP="004A45CF">
      <w:pPr>
        <w:contextualSpacing/>
        <w:mirrorIndents/>
        <w:jc w:val="both"/>
        <w:rPr>
          <w:rFonts w:cs="Times New Roman"/>
          <w:b/>
          <w:sz w:val="20"/>
          <w:szCs w:val="20"/>
        </w:rPr>
      </w:pPr>
      <w:r w:rsidRPr="002D6377">
        <w:rPr>
          <w:rFonts w:cs="Times New Roman"/>
          <w:b/>
          <w:sz w:val="22"/>
          <w:szCs w:val="20"/>
        </w:rPr>
        <w:t>Acknowledgement</w:t>
      </w:r>
    </w:p>
    <w:p w:rsidR="00DD7E58" w:rsidRPr="004A45CF" w:rsidRDefault="00DD7E58" w:rsidP="004A45CF">
      <w:pPr>
        <w:contextualSpacing/>
        <w:mirrorIndents/>
        <w:jc w:val="both"/>
        <w:rPr>
          <w:rFonts w:cs="Times New Roman"/>
          <w:sz w:val="20"/>
          <w:szCs w:val="20"/>
        </w:rPr>
      </w:pPr>
    </w:p>
    <w:p w:rsidR="004A45CF" w:rsidRDefault="004A45CF" w:rsidP="004A45CF">
      <w:pPr>
        <w:contextualSpacing/>
        <w:mirrorIndents/>
        <w:jc w:val="both"/>
        <w:rPr>
          <w:rFonts w:cs="Times New Roman"/>
          <w:sz w:val="20"/>
          <w:szCs w:val="20"/>
        </w:rPr>
      </w:pPr>
      <w:r w:rsidRPr="004A45CF">
        <w:rPr>
          <w:rFonts w:cs="Times New Roman"/>
          <w:sz w:val="20"/>
          <w:szCs w:val="20"/>
        </w:rPr>
        <w:t xml:space="preserve">We thank Riya </w:t>
      </w:r>
      <w:proofErr w:type="spellStart"/>
      <w:r w:rsidRPr="004A45CF">
        <w:rPr>
          <w:rFonts w:cs="Times New Roman"/>
          <w:sz w:val="20"/>
          <w:szCs w:val="20"/>
        </w:rPr>
        <w:t>Chinni</w:t>
      </w:r>
      <w:proofErr w:type="spellEnd"/>
      <w:r w:rsidRPr="004A45CF">
        <w:rPr>
          <w:rFonts w:cs="Times New Roman"/>
          <w:sz w:val="20"/>
          <w:szCs w:val="20"/>
        </w:rPr>
        <w:t xml:space="preserve"> for her help in recruitment and data collection.</w:t>
      </w:r>
    </w:p>
    <w:p w:rsidR="003418EB" w:rsidRDefault="003418EB" w:rsidP="004A45CF">
      <w:pPr>
        <w:contextualSpacing/>
        <w:mirrorIndents/>
        <w:jc w:val="both"/>
        <w:rPr>
          <w:rFonts w:cs="Times New Roman"/>
          <w:sz w:val="20"/>
          <w:szCs w:val="20"/>
        </w:rPr>
      </w:pPr>
    </w:p>
    <w:p w:rsidR="00A44C87" w:rsidRPr="004D3951" w:rsidRDefault="00A44C87" w:rsidP="004A45CF">
      <w:pPr>
        <w:contextualSpacing/>
        <w:mirrorIndents/>
        <w:jc w:val="both"/>
        <w:rPr>
          <w:rFonts w:cs="Times New Roman"/>
          <w:b/>
          <w:sz w:val="20"/>
          <w:szCs w:val="20"/>
        </w:rPr>
      </w:pPr>
      <w:r w:rsidRPr="004D3951">
        <w:rPr>
          <w:rFonts w:cs="Times New Roman"/>
          <w:b/>
          <w:sz w:val="22"/>
          <w:szCs w:val="20"/>
        </w:rPr>
        <w:t>Conflict of Interest</w:t>
      </w:r>
    </w:p>
    <w:p w:rsidR="00A44C87" w:rsidRDefault="00A44C87" w:rsidP="004A45CF">
      <w:pPr>
        <w:contextualSpacing/>
        <w:mirrorIndents/>
        <w:jc w:val="both"/>
        <w:rPr>
          <w:rFonts w:cs="Times New Roman"/>
          <w:sz w:val="20"/>
          <w:szCs w:val="20"/>
        </w:rPr>
      </w:pPr>
    </w:p>
    <w:p w:rsidR="003418EB" w:rsidRPr="001C35B6" w:rsidRDefault="003418EB" w:rsidP="004A45CF">
      <w:pPr>
        <w:contextualSpacing/>
        <w:mirrorIndents/>
        <w:jc w:val="both"/>
        <w:rPr>
          <w:rFonts w:cs="Times New Roman"/>
          <w:sz w:val="20"/>
          <w:szCs w:val="20"/>
        </w:rPr>
      </w:pPr>
      <w:r w:rsidRPr="003418EB">
        <w:rPr>
          <w:rFonts w:cs="Times New Roman"/>
          <w:sz w:val="20"/>
          <w:szCs w:val="20"/>
        </w:rPr>
        <w:t>All authors report no conflict of interest.</w:t>
      </w:r>
    </w:p>
    <w:p w:rsidR="00117BE1" w:rsidRPr="001C35B6" w:rsidRDefault="00117BE1" w:rsidP="001C35B6">
      <w:pPr>
        <w:contextualSpacing/>
        <w:mirrorIndents/>
        <w:jc w:val="both"/>
        <w:rPr>
          <w:rFonts w:cs="Times New Roman"/>
          <w:sz w:val="20"/>
          <w:szCs w:val="20"/>
        </w:rPr>
      </w:pPr>
    </w:p>
    <w:p w:rsidR="00A00AC6" w:rsidRPr="00431674" w:rsidRDefault="00A00AC6" w:rsidP="009A24C9">
      <w:pPr>
        <w:contextualSpacing/>
        <w:mirrorIndents/>
        <w:jc w:val="center"/>
        <w:rPr>
          <w:rFonts w:cs="Times New Roman"/>
          <w:b/>
          <w:sz w:val="20"/>
          <w:szCs w:val="20"/>
        </w:rPr>
      </w:pPr>
      <w:r w:rsidRPr="003B432A">
        <w:rPr>
          <w:rFonts w:cs="Times New Roman"/>
          <w:b/>
          <w:sz w:val="22"/>
          <w:szCs w:val="20"/>
        </w:rPr>
        <w:t>References</w:t>
      </w:r>
    </w:p>
    <w:p w:rsidR="00117BE1" w:rsidRPr="001C35B6" w:rsidRDefault="00117BE1" w:rsidP="001C35B6">
      <w:pPr>
        <w:contextualSpacing/>
        <w:mirrorIndents/>
        <w:jc w:val="both"/>
        <w:rPr>
          <w:rFonts w:cs="Times New Roman"/>
          <w:sz w:val="20"/>
          <w:szCs w:val="20"/>
        </w:rPr>
      </w:pPr>
    </w:p>
    <w:p w:rsidR="00696186" w:rsidRPr="00DD4D9F" w:rsidRDefault="00CF0378" w:rsidP="00DD4D9F">
      <w:pPr>
        <w:pStyle w:val="ListParagraph"/>
        <w:numPr>
          <w:ilvl w:val="0"/>
          <w:numId w:val="13"/>
        </w:numPr>
        <w:mirrorIndents/>
        <w:jc w:val="both"/>
        <w:rPr>
          <w:rFonts w:cs="Times New Roman"/>
          <w:sz w:val="20"/>
          <w:szCs w:val="20"/>
        </w:rPr>
      </w:pPr>
      <w:hyperlink r:id="rId14" w:history="1">
        <w:proofErr w:type="spellStart"/>
        <w:r w:rsidR="00A00AC6" w:rsidRPr="00DD4D9F">
          <w:rPr>
            <w:rStyle w:val="Hyperlink"/>
            <w:rFonts w:cs="Times New Roman"/>
            <w:sz w:val="20"/>
            <w:szCs w:val="20"/>
            <w:u w:val="none"/>
          </w:rPr>
          <w:t>Guzik</w:t>
        </w:r>
        <w:proofErr w:type="spellEnd"/>
        <w:r w:rsidR="00A00AC6" w:rsidRPr="00DD4D9F">
          <w:rPr>
            <w:rStyle w:val="Hyperlink"/>
            <w:rFonts w:cs="Times New Roman"/>
            <w:sz w:val="20"/>
            <w:szCs w:val="20"/>
            <w:u w:val="none"/>
          </w:rPr>
          <w:t xml:space="preserve"> TJ, </w:t>
        </w:r>
        <w:proofErr w:type="spellStart"/>
        <w:r w:rsidR="00A00AC6" w:rsidRPr="00DD4D9F">
          <w:rPr>
            <w:rStyle w:val="Hyperlink"/>
            <w:rFonts w:cs="Times New Roman"/>
            <w:sz w:val="20"/>
            <w:szCs w:val="20"/>
            <w:u w:val="none"/>
          </w:rPr>
          <w:t>Mohiddin</w:t>
        </w:r>
        <w:proofErr w:type="spellEnd"/>
        <w:r w:rsidR="00A00AC6" w:rsidRPr="00DD4D9F">
          <w:rPr>
            <w:rStyle w:val="Hyperlink"/>
            <w:rFonts w:cs="Times New Roman"/>
            <w:sz w:val="20"/>
            <w:szCs w:val="20"/>
            <w:u w:val="none"/>
          </w:rPr>
          <w:t xml:space="preserve"> SA, </w:t>
        </w:r>
        <w:proofErr w:type="spellStart"/>
        <w:r w:rsidR="00A00AC6" w:rsidRPr="00DD4D9F">
          <w:rPr>
            <w:rStyle w:val="Hyperlink"/>
            <w:rFonts w:cs="Times New Roman"/>
            <w:sz w:val="20"/>
            <w:szCs w:val="20"/>
            <w:u w:val="none"/>
          </w:rPr>
          <w:t>Dimarco</w:t>
        </w:r>
        <w:proofErr w:type="spellEnd"/>
        <w:r w:rsidR="00A00AC6" w:rsidRPr="00DD4D9F">
          <w:rPr>
            <w:rStyle w:val="Hyperlink"/>
            <w:rFonts w:cs="Times New Roman"/>
            <w:sz w:val="20"/>
            <w:szCs w:val="20"/>
            <w:u w:val="none"/>
          </w:rPr>
          <w:t xml:space="preserve"> A, </w:t>
        </w:r>
        <w:r w:rsidR="00A9565D" w:rsidRPr="00DD4D9F">
          <w:rPr>
            <w:rStyle w:val="Hyperlink"/>
            <w:rFonts w:cs="Times New Roman"/>
            <w:sz w:val="20"/>
            <w:szCs w:val="20"/>
            <w:u w:val="none"/>
          </w:rPr>
          <w:t xml:space="preserve">Patel V, </w:t>
        </w:r>
        <w:proofErr w:type="spellStart"/>
        <w:r w:rsidR="00A9565D" w:rsidRPr="00DD4D9F">
          <w:rPr>
            <w:rStyle w:val="Hyperlink"/>
            <w:rFonts w:cs="Times New Roman"/>
            <w:sz w:val="20"/>
            <w:szCs w:val="20"/>
            <w:u w:val="none"/>
          </w:rPr>
          <w:t>savvatis</w:t>
        </w:r>
        <w:proofErr w:type="spellEnd"/>
        <w:r w:rsidR="00A9565D" w:rsidRPr="00DD4D9F">
          <w:rPr>
            <w:rStyle w:val="Hyperlink"/>
            <w:rFonts w:cs="Times New Roman"/>
            <w:sz w:val="20"/>
            <w:szCs w:val="20"/>
            <w:u w:val="none"/>
          </w:rPr>
          <w:t xml:space="preserve"> K, </w:t>
        </w:r>
        <w:r w:rsidR="00A00AC6" w:rsidRPr="00DD4D9F">
          <w:rPr>
            <w:rStyle w:val="Hyperlink"/>
            <w:rFonts w:cs="Times New Roman"/>
            <w:sz w:val="20"/>
            <w:szCs w:val="20"/>
            <w:u w:val="none"/>
          </w:rPr>
          <w:t>et al.</w:t>
        </w:r>
        <w:r w:rsidR="00893A7D" w:rsidRPr="00DD4D9F">
          <w:rPr>
            <w:rStyle w:val="Hyperlink"/>
            <w:rFonts w:cs="Times New Roman"/>
            <w:sz w:val="20"/>
            <w:szCs w:val="20"/>
            <w:u w:val="none"/>
          </w:rPr>
          <w:t xml:space="preserve"> (2020)</w:t>
        </w:r>
        <w:r w:rsidR="00A00AC6" w:rsidRPr="00DD4D9F">
          <w:rPr>
            <w:rStyle w:val="Hyperlink"/>
            <w:rFonts w:cs="Times New Roman"/>
            <w:sz w:val="20"/>
            <w:szCs w:val="20"/>
            <w:u w:val="none"/>
          </w:rPr>
          <w:t xml:space="preserve"> COVID-19 and the cardiovascular system: implications for risk assessment, diagnosis, and treatment options. </w:t>
        </w:r>
        <w:proofErr w:type="spellStart"/>
        <w:r w:rsidR="00A00AC6" w:rsidRPr="00DD4D9F">
          <w:rPr>
            <w:rStyle w:val="Hyperlink"/>
            <w:rFonts w:cs="Times New Roman"/>
            <w:sz w:val="20"/>
            <w:szCs w:val="20"/>
            <w:u w:val="none"/>
          </w:rPr>
          <w:t>C</w:t>
        </w:r>
        <w:r w:rsidR="00696186" w:rsidRPr="00DD4D9F">
          <w:rPr>
            <w:rStyle w:val="Hyperlink"/>
            <w:rFonts w:cs="Times New Roman"/>
            <w:sz w:val="20"/>
            <w:szCs w:val="20"/>
            <w:u w:val="none"/>
          </w:rPr>
          <w:t>ardiovasc</w:t>
        </w:r>
        <w:proofErr w:type="spellEnd"/>
        <w:r w:rsidR="00696186" w:rsidRPr="00DD4D9F">
          <w:rPr>
            <w:rStyle w:val="Hyperlink"/>
            <w:rFonts w:cs="Times New Roman"/>
            <w:sz w:val="20"/>
            <w:szCs w:val="20"/>
            <w:u w:val="none"/>
          </w:rPr>
          <w:t xml:space="preserve"> Res. Aug 116</w:t>
        </w:r>
        <w:r w:rsidR="00A00AC6" w:rsidRPr="00DD4D9F">
          <w:rPr>
            <w:rStyle w:val="Hyperlink"/>
            <w:rFonts w:cs="Times New Roman"/>
            <w:sz w:val="20"/>
            <w:szCs w:val="20"/>
            <w:u w:val="none"/>
          </w:rPr>
          <w:t>:</w:t>
        </w:r>
        <w:r w:rsidR="00696186" w:rsidRPr="00DD4D9F">
          <w:rPr>
            <w:rStyle w:val="Hyperlink"/>
            <w:rFonts w:cs="Times New Roman"/>
            <w:sz w:val="20"/>
            <w:szCs w:val="20"/>
            <w:u w:val="none"/>
          </w:rPr>
          <w:t xml:space="preserve"> </w:t>
        </w:r>
        <w:r w:rsidR="00A00AC6" w:rsidRPr="00DD4D9F">
          <w:rPr>
            <w:rStyle w:val="Hyperlink"/>
            <w:rFonts w:cs="Times New Roman"/>
            <w:sz w:val="20"/>
            <w:szCs w:val="20"/>
            <w:u w:val="none"/>
          </w:rPr>
          <w:t>1666-1687.</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15" w:history="1">
        <w:proofErr w:type="spellStart"/>
        <w:r w:rsidR="00A00AC6" w:rsidRPr="00DD4D9F">
          <w:rPr>
            <w:rStyle w:val="Hyperlink"/>
            <w:rFonts w:cs="Times New Roman"/>
            <w:sz w:val="20"/>
            <w:szCs w:val="20"/>
            <w:u w:val="none"/>
          </w:rPr>
          <w:t>Abbasi</w:t>
        </w:r>
        <w:proofErr w:type="spellEnd"/>
        <w:r w:rsidR="00A00AC6" w:rsidRPr="00DD4D9F">
          <w:rPr>
            <w:rStyle w:val="Hyperlink"/>
            <w:rFonts w:cs="Times New Roman"/>
            <w:sz w:val="20"/>
            <w:szCs w:val="20"/>
            <w:u w:val="none"/>
          </w:rPr>
          <w:t xml:space="preserve"> J</w:t>
        </w:r>
        <w:r w:rsidR="00696186" w:rsidRPr="00DD4D9F">
          <w:rPr>
            <w:rStyle w:val="Hyperlink"/>
            <w:rFonts w:cs="Times New Roman"/>
            <w:sz w:val="20"/>
            <w:szCs w:val="20"/>
            <w:u w:val="none"/>
          </w:rPr>
          <w:t xml:space="preserve"> (2022)</w:t>
        </w:r>
        <w:r w:rsidR="00A00AC6" w:rsidRPr="00DD4D9F">
          <w:rPr>
            <w:rStyle w:val="Hyperlink"/>
            <w:rFonts w:cs="Times New Roman"/>
            <w:sz w:val="20"/>
            <w:szCs w:val="20"/>
            <w:u w:val="none"/>
          </w:rPr>
          <w:t xml:space="preserve"> The COVID Heart</w:t>
        </w:r>
        <w:r w:rsidR="003813EA" w:rsidRPr="00DD4D9F">
          <w:rPr>
            <w:rStyle w:val="Hyperlink"/>
            <w:rFonts w:cs="Times New Roman"/>
            <w:sz w:val="20"/>
            <w:szCs w:val="20"/>
            <w:u w:val="none"/>
          </w:rPr>
          <w:t>-</w:t>
        </w:r>
        <w:r w:rsidR="00A00AC6" w:rsidRPr="00DD4D9F">
          <w:rPr>
            <w:rStyle w:val="Hyperlink"/>
            <w:rFonts w:cs="Times New Roman"/>
            <w:sz w:val="20"/>
            <w:szCs w:val="20"/>
            <w:u w:val="none"/>
          </w:rPr>
          <w:t>One Year After SARS-CoV-2 Infection, Patients Have an Array of Increased Cardiova</w:t>
        </w:r>
        <w:r w:rsidR="000A794F" w:rsidRPr="00DD4D9F">
          <w:rPr>
            <w:rStyle w:val="Hyperlink"/>
            <w:rFonts w:cs="Times New Roman"/>
            <w:sz w:val="20"/>
            <w:szCs w:val="20"/>
            <w:u w:val="none"/>
          </w:rPr>
          <w:t>scular Risks. JAMA 327</w:t>
        </w:r>
        <w:r w:rsidR="00A00AC6" w:rsidRPr="00DD4D9F">
          <w:rPr>
            <w:rStyle w:val="Hyperlink"/>
            <w:rFonts w:cs="Times New Roman"/>
            <w:sz w:val="20"/>
            <w:szCs w:val="20"/>
            <w:u w:val="none"/>
          </w:rPr>
          <w:t>:</w:t>
        </w:r>
        <w:r w:rsidR="000A794F" w:rsidRPr="00DD4D9F">
          <w:rPr>
            <w:rStyle w:val="Hyperlink"/>
            <w:rFonts w:cs="Times New Roman"/>
            <w:sz w:val="20"/>
            <w:szCs w:val="20"/>
            <w:u w:val="none"/>
          </w:rPr>
          <w:t xml:space="preserve"> </w:t>
        </w:r>
        <w:r w:rsidR="00A00AC6" w:rsidRPr="00DD4D9F">
          <w:rPr>
            <w:rStyle w:val="Hyperlink"/>
            <w:rFonts w:cs="Times New Roman"/>
            <w:sz w:val="20"/>
            <w:szCs w:val="20"/>
            <w:u w:val="none"/>
          </w:rPr>
          <w:t>1113-1114.</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16" w:history="1">
        <w:r w:rsidR="00A00AC6" w:rsidRPr="00DD4D9F">
          <w:rPr>
            <w:rStyle w:val="Hyperlink"/>
            <w:rFonts w:cs="Times New Roman"/>
            <w:sz w:val="20"/>
            <w:szCs w:val="20"/>
            <w:u w:val="none"/>
          </w:rPr>
          <w:t>W</w:t>
        </w:r>
        <w:r w:rsidR="00B24F69" w:rsidRPr="00DD4D9F">
          <w:rPr>
            <w:rStyle w:val="Hyperlink"/>
            <w:rFonts w:cs="Times New Roman"/>
            <w:sz w:val="20"/>
            <w:szCs w:val="20"/>
            <w:u w:val="none"/>
          </w:rPr>
          <w:t>ang W, Wang CY, Wang SI, Wei JC (2022)</w:t>
        </w:r>
        <w:r w:rsidR="00A00AC6" w:rsidRPr="00DD4D9F">
          <w:rPr>
            <w:rStyle w:val="Hyperlink"/>
            <w:rFonts w:cs="Times New Roman"/>
            <w:sz w:val="20"/>
            <w:szCs w:val="20"/>
            <w:u w:val="none"/>
          </w:rPr>
          <w:t xml:space="preserve"> Long-term cardiovascular outcomes in COVID-19 survivors among non-vaccinated population: A retrospective cohort study from the </w:t>
        </w:r>
        <w:proofErr w:type="spellStart"/>
        <w:r w:rsidR="00A00AC6" w:rsidRPr="00DD4D9F">
          <w:rPr>
            <w:rStyle w:val="Hyperlink"/>
            <w:rFonts w:cs="Times New Roman"/>
            <w:sz w:val="20"/>
            <w:szCs w:val="20"/>
            <w:u w:val="none"/>
          </w:rPr>
          <w:t>TriNetX</w:t>
        </w:r>
        <w:proofErr w:type="spellEnd"/>
        <w:r w:rsidR="00A00AC6" w:rsidRPr="00DD4D9F">
          <w:rPr>
            <w:rStyle w:val="Hyperlink"/>
            <w:rFonts w:cs="Times New Roman"/>
            <w:sz w:val="20"/>
            <w:szCs w:val="20"/>
            <w:u w:val="none"/>
          </w:rPr>
          <w:t xml:space="preserve"> US collaborative networ</w:t>
        </w:r>
        <w:r w:rsidR="00A674A8" w:rsidRPr="00DD4D9F">
          <w:rPr>
            <w:rStyle w:val="Hyperlink"/>
            <w:rFonts w:cs="Times New Roman"/>
            <w:sz w:val="20"/>
            <w:szCs w:val="20"/>
            <w:u w:val="none"/>
          </w:rPr>
          <w:t xml:space="preserve">ks. </w:t>
        </w:r>
        <w:proofErr w:type="spellStart"/>
        <w:r w:rsidR="00A674A8" w:rsidRPr="00DD4D9F">
          <w:rPr>
            <w:rStyle w:val="Hyperlink"/>
            <w:rFonts w:cs="Times New Roman"/>
            <w:sz w:val="20"/>
            <w:szCs w:val="20"/>
            <w:u w:val="none"/>
          </w:rPr>
          <w:t>EClinicalMedicine</w:t>
        </w:r>
        <w:proofErr w:type="spellEnd"/>
        <w:r w:rsidR="00A674A8" w:rsidRPr="00DD4D9F">
          <w:rPr>
            <w:rStyle w:val="Hyperlink"/>
            <w:rFonts w:cs="Times New Roman"/>
            <w:sz w:val="20"/>
            <w:szCs w:val="20"/>
            <w:u w:val="none"/>
          </w:rPr>
          <w:t xml:space="preserve"> </w:t>
        </w:r>
        <w:r w:rsidR="00A00AC6" w:rsidRPr="00DD4D9F">
          <w:rPr>
            <w:rStyle w:val="Hyperlink"/>
            <w:rFonts w:cs="Times New Roman"/>
            <w:sz w:val="20"/>
            <w:szCs w:val="20"/>
            <w:u w:val="none"/>
          </w:rPr>
          <w:t>53:</w:t>
        </w:r>
        <w:r w:rsidR="00DA14A1" w:rsidRPr="00DD4D9F">
          <w:rPr>
            <w:rStyle w:val="Hyperlink"/>
            <w:rFonts w:cs="Times New Roman"/>
            <w:sz w:val="20"/>
            <w:szCs w:val="20"/>
            <w:u w:val="none"/>
          </w:rPr>
          <w:t xml:space="preserve"> </w:t>
        </w:r>
        <w:r w:rsidR="00A00AC6" w:rsidRPr="00DD4D9F">
          <w:rPr>
            <w:rStyle w:val="Hyperlink"/>
            <w:rFonts w:cs="Times New Roman"/>
            <w:sz w:val="20"/>
            <w:szCs w:val="20"/>
            <w:u w:val="none"/>
          </w:rPr>
          <w:t>101619</w:t>
        </w:r>
        <w:r w:rsidR="00A674A8" w:rsidRPr="00DD4D9F">
          <w:rPr>
            <w:rStyle w:val="Hyperlink"/>
            <w:rFonts w:cs="Times New Roman"/>
            <w:sz w:val="20"/>
            <w:szCs w:val="20"/>
            <w:u w:val="none"/>
          </w:rPr>
          <w:t>.</w:t>
        </w:r>
      </w:hyperlink>
    </w:p>
    <w:p w:rsidR="00A00AC6" w:rsidRPr="00DD4D9F" w:rsidRDefault="00CF0378" w:rsidP="00DD4D9F">
      <w:pPr>
        <w:pStyle w:val="ListParagraph"/>
        <w:numPr>
          <w:ilvl w:val="0"/>
          <w:numId w:val="13"/>
        </w:numPr>
        <w:mirrorIndents/>
        <w:jc w:val="both"/>
        <w:rPr>
          <w:rFonts w:cs="Times New Roman"/>
          <w:sz w:val="20"/>
          <w:szCs w:val="20"/>
        </w:rPr>
      </w:pPr>
      <w:hyperlink r:id="rId17" w:history="1">
        <w:proofErr w:type="spellStart"/>
        <w:r w:rsidR="00A674A8" w:rsidRPr="00DD4D9F">
          <w:rPr>
            <w:rStyle w:val="Hyperlink"/>
            <w:rFonts w:cs="Times New Roman"/>
            <w:sz w:val="20"/>
            <w:szCs w:val="20"/>
            <w:u w:val="none"/>
          </w:rPr>
          <w:t>Akpek</w:t>
        </w:r>
        <w:proofErr w:type="spellEnd"/>
        <w:r w:rsidR="00A674A8" w:rsidRPr="00DD4D9F">
          <w:rPr>
            <w:rStyle w:val="Hyperlink"/>
            <w:rFonts w:cs="Times New Roman"/>
            <w:sz w:val="20"/>
            <w:szCs w:val="20"/>
            <w:u w:val="none"/>
          </w:rPr>
          <w:t xml:space="preserve"> M (2022) </w:t>
        </w:r>
        <w:r w:rsidR="00A00AC6" w:rsidRPr="00DD4D9F">
          <w:rPr>
            <w:rStyle w:val="Hyperlink"/>
            <w:rFonts w:cs="Times New Roman"/>
            <w:sz w:val="20"/>
            <w:szCs w:val="20"/>
            <w:u w:val="none"/>
          </w:rPr>
          <w:t>Does COVID-19 Caus</w:t>
        </w:r>
        <w:r w:rsidR="00A004AD" w:rsidRPr="00DD4D9F">
          <w:rPr>
            <w:rStyle w:val="Hyperlink"/>
            <w:rFonts w:cs="Times New Roman"/>
            <w:sz w:val="20"/>
            <w:szCs w:val="20"/>
            <w:u w:val="none"/>
          </w:rPr>
          <w:t xml:space="preserve">e Hypertension? Angiology </w:t>
        </w:r>
        <w:r w:rsidR="00A00AC6" w:rsidRPr="00DD4D9F">
          <w:rPr>
            <w:rStyle w:val="Hyperlink"/>
            <w:rFonts w:cs="Times New Roman"/>
            <w:sz w:val="20"/>
            <w:szCs w:val="20"/>
            <w:u w:val="none"/>
          </w:rPr>
          <w:t>73:</w:t>
        </w:r>
        <w:r w:rsidR="00A004AD" w:rsidRPr="00DD4D9F">
          <w:rPr>
            <w:rStyle w:val="Hyperlink"/>
            <w:rFonts w:cs="Times New Roman"/>
            <w:sz w:val="20"/>
            <w:szCs w:val="20"/>
            <w:u w:val="none"/>
          </w:rPr>
          <w:t xml:space="preserve"> </w:t>
        </w:r>
        <w:r w:rsidR="00A00AC6" w:rsidRPr="00DD4D9F">
          <w:rPr>
            <w:rStyle w:val="Hyperlink"/>
            <w:rFonts w:cs="Times New Roman"/>
            <w:sz w:val="20"/>
            <w:szCs w:val="20"/>
            <w:u w:val="none"/>
          </w:rPr>
          <w:t>682-687.</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18" w:history="1">
        <w:proofErr w:type="spellStart"/>
        <w:r w:rsidR="00A00AC6" w:rsidRPr="00DD4D9F">
          <w:rPr>
            <w:rStyle w:val="Hyperlink"/>
            <w:rFonts w:cs="Times New Roman"/>
            <w:sz w:val="20"/>
            <w:szCs w:val="20"/>
            <w:u w:val="none"/>
          </w:rPr>
          <w:t>Yugar</w:t>
        </w:r>
        <w:proofErr w:type="spellEnd"/>
        <w:r w:rsidR="00A00AC6" w:rsidRPr="00DD4D9F">
          <w:rPr>
            <w:rStyle w:val="Hyperlink"/>
            <w:rFonts w:cs="Times New Roman"/>
            <w:sz w:val="20"/>
            <w:szCs w:val="20"/>
            <w:u w:val="none"/>
          </w:rPr>
          <w:t xml:space="preserve">-Toledo JC, </w:t>
        </w:r>
        <w:proofErr w:type="spellStart"/>
        <w:r w:rsidR="00A00AC6" w:rsidRPr="00DD4D9F">
          <w:rPr>
            <w:rStyle w:val="Hyperlink"/>
            <w:rFonts w:cs="Times New Roman"/>
            <w:sz w:val="20"/>
            <w:szCs w:val="20"/>
            <w:u w:val="none"/>
          </w:rPr>
          <w:t>Yugar</w:t>
        </w:r>
        <w:proofErr w:type="spellEnd"/>
        <w:r w:rsidR="00A00AC6" w:rsidRPr="00DD4D9F">
          <w:rPr>
            <w:rStyle w:val="Hyperlink"/>
            <w:rFonts w:cs="Times New Roman"/>
            <w:sz w:val="20"/>
            <w:szCs w:val="20"/>
            <w:u w:val="none"/>
          </w:rPr>
          <w:t xml:space="preserve"> LBT, </w:t>
        </w:r>
        <w:proofErr w:type="spellStart"/>
        <w:r w:rsidR="00A00AC6" w:rsidRPr="00DD4D9F">
          <w:rPr>
            <w:rStyle w:val="Hyperlink"/>
            <w:rFonts w:cs="Times New Roman"/>
            <w:sz w:val="20"/>
            <w:szCs w:val="20"/>
            <w:u w:val="none"/>
          </w:rPr>
          <w:t>Sedenho</w:t>
        </w:r>
        <w:proofErr w:type="spellEnd"/>
        <w:r w:rsidR="00A00AC6" w:rsidRPr="00DD4D9F">
          <w:rPr>
            <w:rStyle w:val="Hyperlink"/>
            <w:rFonts w:cs="Times New Roman"/>
            <w:sz w:val="20"/>
            <w:szCs w:val="20"/>
            <w:u w:val="none"/>
          </w:rPr>
          <w:t>-Prado LG, Schreiber R, Moreno H</w:t>
        </w:r>
        <w:r w:rsidR="00817A09" w:rsidRPr="00DD4D9F">
          <w:rPr>
            <w:rStyle w:val="Hyperlink"/>
            <w:rFonts w:cs="Times New Roman"/>
            <w:sz w:val="20"/>
            <w:szCs w:val="20"/>
            <w:u w:val="none"/>
          </w:rPr>
          <w:t xml:space="preserve"> (2023)</w:t>
        </w:r>
        <w:r w:rsidR="00A00AC6" w:rsidRPr="00DD4D9F">
          <w:rPr>
            <w:rStyle w:val="Hyperlink"/>
            <w:rFonts w:cs="Times New Roman"/>
            <w:sz w:val="20"/>
            <w:szCs w:val="20"/>
            <w:u w:val="none"/>
          </w:rPr>
          <w:t xml:space="preserve"> Pathophysiological effects of SARS-CoV-2 infection on the cardiovascular system and its clinical manifestations</w:t>
        </w:r>
        <w:r w:rsidR="003813EA" w:rsidRPr="00DD4D9F">
          <w:rPr>
            <w:rStyle w:val="Hyperlink"/>
            <w:rFonts w:cs="Times New Roman"/>
            <w:sz w:val="20"/>
            <w:szCs w:val="20"/>
            <w:u w:val="none"/>
          </w:rPr>
          <w:t xml:space="preserve"> </w:t>
        </w:r>
        <w:r w:rsidR="00A00AC6" w:rsidRPr="00DD4D9F">
          <w:rPr>
            <w:rStyle w:val="Hyperlink"/>
            <w:rFonts w:cs="Times New Roman"/>
            <w:sz w:val="20"/>
            <w:szCs w:val="20"/>
            <w:u w:val="none"/>
          </w:rPr>
          <w:t>a mini review. Mini Review. Frontiers in Cardiovascular Medicine</w:t>
        </w:r>
        <w:r w:rsidR="00AB39A8" w:rsidRPr="00DD4D9F">
          <w:rPr>
            <w:rStyle w:val="Hyperlink"/>
            <w:rFonts w:cs="Times New Roman"/>
            <w:sz w:val="20"/>
            <w:szCs w:val="20"/>
            <w:u w:val="none"/>
          </w:rPr>
          <w:t xml:space="preserve"> </w:t>
        </w:r>
        <w:r w:rsidR="00D93BA1" w:rsidRPr="00DD4D9F">
          <w:rPr>
            <w:rStyle w:val="Hyperlink"/>
            <w:rFonts w:cs="Times New Roman"/>
            <w:sz w:val="20"/>
            <w:szCs w:val="20"/>
            <w:u w:val="none"/>
          </w:rPr>
          <w:t>16:10: 1162837</w:t>
        </w:r>
        <w:r w:rsidR="00AB39A8" w:rsidRPr="00DD4D9F">
          <w:rPr>
            <w:rStyle w:val="Hyperlink"/>
            <w:rFonts w:cs="Times New Roman"/>
            <w:sz w:val="20"/>
            <w:szCs w:val="20"/>
            <w:u w:val="none"/>
          </w:rPr>
          <w:t>.</w:t>
        </w:r>
      </w:hyperlink>
    </w:p>
    <w:p w:rsidR="00A00AC6" w:rsidRPr="00DD4D9F" w:rsidRDefault="00CF0378" w:rsidP="00DD4D9F">
      <w:pPr>
        <w:pStyle w:val="ListParagraph"/>
        <w:numPr>
          <w:ilvl w:val="0"/>
          <w:numId w:val="13"/>
        </w:numPr>
        <w:mirrorIndents/>
        <w:jc w:val="both"/>
        <w:rPr>
          <w:rFonts w:cs="Times New Roman"/>
          <w:sz w:val="20"/>
          <w:szCs w:val="20"/>
        </w:rPr>
      </w:pPr>
      <w:hyperlink r:id="rId19" w:history="1">
        <w:r w:rsidR="00E57AED" w:rsidRPr="00DD4D9F">
          <w:rPr>
            <w:rStyle w:val="Hyperlink"/>
            <w:rFonts w:cs="Times New Roman"/>
            <w:sz w:val="20"/>
            <w:szCs w:val="20"/>
            <w:u w:val="none"/>
          </w:rPr>
          <w:t>Yang W</w:t>
        </w:r>
        <w:r w:rsidR="00A00AC6" w:rsidRPr="00DD4D9F">
          <w:rPr>
            <w:rStyle w:val="Hyperlink"/>
            <w:rFonts w:cs="Times New Roman"/>
            <w:sz w:val="20"/>
            <w:szCs w:val="20"/>
            <w:u w:val="none"/>
          </w:rPr>
          <w:t xml:space="preserve">Y, </w:t>
        </w:r>
        <w:proofErr w:type="spellStart"/>
        <w:r w:rsidR="00A00AC6" w:rsidRPr="00DD4D9F">
          <w:rPr>
            <w:rStyle w:val="Hyperlink"/>
            <w:rFonts w:cs="Times New Roman"/>
            <w:sz w:val="20"/>
            <w:szCs w:val="20"/>
            <w:u w:val="none"/>
          </w:rPr>
          <w:t>Me</w:t>
        </w:r>
        <w:r w:rsidR="00E57AED" w:rsidRPr="00DD4D9F">
          <w:rPr>
            <w:rStyle w:val="Hyperlink"/>
            <w:rFonts w:cs="Times New Roman"/>
            <w:sz w:val="20"/>
            <w:szCs w:val="20"/>
            <w:u w:val="none"/>
          </w:rPr>
          <w:t>lgarejo</w:t>
        </w:r>
        <w:proofErr w:type="spellEnd"/>
        <w:r w:rsidR="00E57AED" w:rsidRPr="00DD4D9F">
          <w:rPr>
            <w:rStyle w:val="Hyperlink"/>
            <w:rFonts w:cs="Times New Roman"/>
            <w:sz w:val="20"/>
            <w:szCs w:val="20"/>
            <w:u w:val="none"/>
          </w:rPr>
          <w:t xml:space="preserve"> JD, Thijs L (2019)</w:t>
        </w:r>
        <w:r w:rsidR="00A00AC6" w:rsidRPr="00DD4D9F">
          <w:rPr>
            <w:rStyle w:val="Hyperlink"/>
            <w:rFonts w:cs="Times New Roman"/>
            <w:sz w:val="20"/>
            <w:szCs w:val="20"/>
            <w:u w:val="none"/>
          </w:rPr>
          <w:t xml:space="preserve"> Association of Office and Ambulatory Blood Pressure </w:t>
        </w:r>
        <w:r w:rsidR="00C64846" w:rsidRPr="00DD4D9F">
          <w:rPr>
            <w:rStyle w:val="Hyperlink"/>
            <w:rFonts w:cs="Times New Roman"/>
            <w:sz w:val="20"/>
            <w:szCs w:val="20"/>
            <w:u w:val="none"/>
          </w:rPr>
          <w:t>w</w:t>
        </w:r>
        <w:r w:rsidR="00A00AC6" w:rsidRPr="00DD4D9F">
          <w:rPr>
            <w:rStyle w:val="Hyperlink"/>
            <w:rFonts w:cs="Times New Roman"/>
            <w:sz w:val="20"/>
            <w:szCs w:val="20"/>
            <w:u w:val="none"/>
          </w:rPr>
          <w:t>ith Mortality and Cardiovasc</w:t>
        </w:r>
        <w:r w:rsidR="00E57AED" w:rsidRPr="00DD4D9F">
          <w:rPr>
            <w:rStyle w:val="Hyperlink"/>
            <w:rFonts w:cs="Times New Roman"/>
            <w:sz w:val="20"/>
            <w:szCs w:val="20"/>
            <w:u w:val="none"/>
          </w:rPr>
          <w:t>ular Outcomes. JAMA 322</w:t>
        </w:r>
        <w:r w:rsidR="00A00AC6" w:rsidRPr="00DD4D9F">
          <w:rPr>
            <w:rStyle w:val="Hyperlink"/>
            <w:rFonts w:cs="Times New Roman"/>
            <w:sz w:val="20"/>
            <w:szCs w:val="20"/>
            <w:u w:val="none"/>
          </w:rPr>
          <w:t>:</w:t>
        </w:r>
        <w:r w:rsidR="00E57AED" w:rsidRPr="00DD4D9F">
          <w:rPr>
            <w:rStyle w:val="Hyperlink"/>
            <w:rFonts w:cs="Times New Roman"/>
            <w:sz w:val="20"/>
            <w:szCs w:val="20"/>
            <w:u w:val="none"/>
          </w:rPr>
          <w:t xml:space="preserve"> </w:t>
        </w:r>
        <w:r w:rsidR="00A00AC6" w:rsidRPr="00DD4D9F">
          <w:rPr>
            <w:rStyle w:val="Hyperlink"/>
            <w:rFonts w:cs="Times New Roman"/>
            <w:sz w:val="20"/>
            <w:szCs w:val="20"/>
            <w:u w:val="none"/>
          </w:rPr>
          <w:t>409-420.</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20" w:history="1">
        <w:r w:rsidR="00A00AC6" w:rsidRPr="00DD4D9F">
          <w:rPr>
            <w:rStyle w:val="Hyperlink"/>
            <w:rFonts w:cs="Times New Roman"/>
            <w:sz w:val="20"/>
            <w:szCs w:val="20"/>
            <w:u w:val="none"/>
          </w:rPr>
          <w:t xml:space="preserve">Pena-Hernandez C, Nugent K, </w:t>
        </w:r>
        <w:proofErr w:type="spellStart"/>
        <w:r w:rsidR="00A00AC6" w:rsidRPr="00DD4D9F">
          <w:rPr>
            <w:rStyle w:val="Hyperlink"/>
            <w:rFonts w:cs="Times New Roman"/>
            <w:sz w:val="20"/>
            <w:szCs w:val="20"/>
            <w:u w:val="none"/>
          </w:rPr>
          <w:t>Tuncel</w:t>
        </w:r>
        <w:proofErr w:type="spellEnd"/>
        <w:r w:rsidR="00A00AC6" w:rsidRPr="00DD4D9F">
          <w:rPr>
            <w:rStyle w:val="Hyperlink"/>
            <w:rFonts w:cs="Times New Roman"/>
            <w:sz w:val="20"/>
            <w:szCs w:val="20"/>
            <w:u w:val="none"/>
          </w:rPr>
          <w:t xml:space="preserve"> M</w:t>
        </w:r>
        <w:r w:rsidR="00E57AED" w:rsidRPr="00DD4D9F">
          <w:rPr>
            <w:rStyle w:val="Hyperlink"/>
            <w:rFonts w:cs="Times New Roman"/>
            <w:sz w:val="20"/>
            <w:szCs w:val="20"/>
            <w:u w:val="none"/>
          </w:rPr>
          <w:t xml:space="preserve"> (2020)</w:t>
        </w:r>
        <w:r w:rsidR="00A00AC6" w:rsidRPr="00DD4D9F">
          <w:rPr>
            <w:rStyle w:val="Hyperlink"/>
            <w:rFonts w:cs="Times New Roman"/>
            <w:sz w:val="20"/>
            <w:szCs w:val="20"/>
            <w:u w:val="none"/>
          </w:rPr>
          <w:t xml:space="preserve"> Twenty-Four-Hour Ambulatory Blood Pressure Monitoring. J Prim Care</w:t>
        </w:r>
        <w:r w:rsidR="000A18B8" w:rsidRPr="00DD4D9F">
          <w:rPr>
            <w:rStyle w:val="Hyperlink"/>
            <w:rFonts w:cs="Times New Roman"/>
            <w:sz w:val="20"/>
            <w:szCs w:val="20"/>
            <w:u w:val="none"/>
          </w:rPr>
          <w:t xml:space="preserve"> Community Health </w:t>
        </w:r>
        <w:r w:rsidR="00A00AC6" w:rsidRPr="00DD4D9F">
          <w:rPr>
            <w:rStyle w:val="Hyperlink"/>
            <w:rFonts w:cs="Times New Roman"/>
            <w:sz w:val="20"/>
            <w:szCs w:val="20"/>
            <w:u w:val="none"/>
          </w:rPr>
          <w:t>11:</w:t>
        </w:r>
        <w:r w:rsidR="000A18B8" w:rsidRPr="00DD4D9F">
          <w:rPr>
            <w:rStyle w:val="Hyperlink"/>
            <w:rFonts w:cs="Times New Roman"/>
            <w:sz w:val="20"/>
            <w:szCs w:val="20"/>
            <w:u w:val="none"/>
          </w:rPr>
          <w:t xml:space="preserve"> </w:t>
        </w:r>
        <w:r w:rsidR="00A00AC6" w:rsidRPr="00DD4D9F">
          <w:rPr>
            <w:rStyle w:val="Hyperlink"/>
            <w:rFonts w:cs="Times New Roman"/>
            <w:sz w:val="20"/>
            <w:szCs w:val="20"/>
            <w:u w:val="none"/>
          </w:rPr>
          <w:t>2150132720940519.</w:t>
        </w:r>
      </w:hyperlink>
    </w:p>
    <w:p w:rsidR="00A00AC6" w:rsidRPr="00DD4D9F" w:rsidRDefault="00CF0378" w:rsidP="00DD4D9F">
      <w:pPr>
        <w:pStyle w:val="ListParagraph"/>
        <w:numPr>
          <w:ilvl w:val="0"/>
          <w:numId w:val="13"/>
        </w:numPr>
        <w:mirrorIndents/>
        <w:jc w:val="both"/>
        <w:rPr>
          <w:rFonts w:cs="Times New Roman"/>
          <w:sz w:val="20"/>
          <w:szCs w:val="20"/>
        </w:rPr>
      </w:pPr>
      <w:hyperlink r:id="rId21" w:history="1">
        <w:proofErr w:type="spellStart"/>
        <w:r w:rsidR="00A00AC6" w:rsidRPr="00DD4D9F">
          <w:rPr>
            <w:rStyle w:val="Hyperlink"/>
            <w:rFonts w:cs="Times New Roman"/>
            <w:sz w:val="20"/>
            <w:szCs w:val="20"/>
            <w:u w:val="none"/>
          </w:rPr>
          <w:t>Nandadeva</w:t>
        </w:r>
        <w:proofErr w:type="spellEnd"/>
        <w:r w:rsidR="00A00AC6" w:rsidRPr="00DD4D9F">
          <w:rPr>
            <w:rStyle w:val="Hyperlink"/>
            <w:rFonts w:cs="Times New Roman"/>
            <w:sz w:val="20"/>
            <w:szCs w:val="20"/>
            <w:u w:val="none"/>
          </w:rPr>
          <w:t xml:space="preserve"> D, </w:t>
        </w:r>
        <w:proofErr w:type="spellStart"/>
        <w:r w:rsidR="00A00AC6" w:rsidRPr="00DD4D9F">
          <w:rPr>
            <w:rStyle w:val="Hyperlink"/>
            <w:rFonts w:cs="Times New Roman"/>
            <w:sz w:val="20"/>
            <w:szCs w:val="20"/>
            <w:u w:val="none"/>
          </w:rPr>
          <w:t>Skow</w:t>
        </w:r>
        <w:proofErr w:type="spellEnd"/>
        <w:r w:rsidR="00A00AC6" w:rsidRPr="00DD4D9F">
          <w:rPr>
            <w:rStyle w:val="Hyperlink"/>
            <w:rFonts w:cs="Times New Roman"/>
            <w:sz w:val="20"/>
            <w:szCs w:val="20"/>
            <w:u w:val="none"/>
          </w:rPr>
          <w:t xml:space="preserve"> RJ, </w:t>
        </w:r>
        <w:proofErr w:type="spellStart"/>
        <w:r w:rsidR="00A00AC6" w:rsidRPr="00DD4D9F">
          <w:rPr>
            <w:rStyle w:val="Hyperlink"/>
            <w:rFonts w:cs="Times New Roman"/>
            <w:sz w:val="20"/>
            <w:szCs w:val="20"/>
            <w:u w:val="none"/>
          </w:rPr>
          <w:t>Grotle</w:t>
        </w:r>
        <w:proofErr w:type="spellEnd"/>
        <w:r w:rsidR="00A00AC6" w:rsidRPr="00DD4D9F">
          <w:rPr>
            <w:rStyle w:val="Hyperlink"/>
            <w:rFonts w:cs="Times New Roman"/>
            <w:sz w:val="20"/>
            <w:szCs w:val="20"/>
            <w:u w:val="none"/>
          </w:rPr>
          <w:t xml:space="preserve"> AK, Stephens BY, Young BE, </w:t>
        </w:r>
        <w:r w:rsidR="000A18B8" w:rsidRPr="00DD4D9F">
          <w:rPr>
            <w:rStyle w:val="Hyperlink"/>
            <w:rFonts w:cs="Times New Roman"/>
            <w:sz w:val="20"/>
            <w:szCs w:val="20"/>
            <w:u w:val="none"/>
          </w:rPr>
          <w:t>et al</w:t>
        </w:r>
        <w:r w:rsidR="00A00AC6" w:rsidRPr="00DD4D9F">
          <w:rPr>
            <w:rStyle w:val="Hyperlink"/>
            <w:rFonts w:cs="Times New Roman"/>
            <w:sz w:val="20"/>
            <w:szCs w:val="20"/>
            <w:u w:val="none"/>
          </w:rPr>
          <w:t>.</w:t>
        </w:r>
        <w:r w:rsidR="000A18B8" w:rsidRPr="00DD4D9F">
          <w:rPr>
            <w:rStyle w:val="Hyperlink"/>
            <w:rFonts w:cs="Times New Roman"/>
            <w:sz w:val="20"/>
            <w:szCs w:val="20"/>
            <w:u w:val="none"/>
          </w:rPr>
          <w:t xml:space="preserve"> (2022)</w:t>
        </w:r>
        <w:r w:rsidR="00A00AC6" w:rsidRPr="00DD4D9F">
          <w:rPr>
            <w:rStyle w:val="Hyperlink"/>
            <w:rFonts w:cs="Times New Roman"/>
            <w:sz w:val="20"/>
            <w:szCs w:val="20"/>
            <w:u w:val="none"/>
          </w:rPr>
          <w:t xml:space="preserve"> Impact of COVID-19 on ambulatory blood pressure in young adults: a cross-sectional analysis investigating time since diagnosis. J </w:t>
        </w:r>
        <w:proofErr w:type="spellStart"/>
        <w:r w:rsidR="00A00AC6" w:rsidRPr="00DD4D9F">
          <w:rPr>
            <w:rStyle w:val="Hyperlink"/>
            <w:rFonts w:cs="Times New Roman"/>
            <w:sz w:val="20"/>
            <w:szCs w:val="20"/>
            <w:u w:val="none"/>
          </w:rPr>
          <w:t>Appl</w:t>
        </w:r>
        <w:proofErr w:type="spellEnd"/>
        <w:r w:rsidR="00A00AC6" w:rsidRPr="00DD4D9F">
          <w:rPr>
            <w:rStyle w:val="Hyperlink"/>
            <w:rFonts w:cs="Times New Roman"/>
            <w:sz w:val="20"/>
            <w:szCs w:val="20"/>
            <w:u w:val="none"/>
          </w:rPr>
          <w:t xml:space="preserve"> </w:t>
        </w:r>
        <w:proofErr w:type="spellStart"/>
        <w:r w:rsidR="00A00AC6" w:rsidRPr="00DD4D9F">
          <w:rPr>
            <w:rStyle w:val="Hyperlink"/>
            <w:rFonts w:cs="Times New Roman"/>
            <w:sz w:val="20"/>
            <w:szCs w:val="20"/>
            <w:u w:val="none"/>
          </w:rPr>
          <w:t>Physiol</w:t>
        </w:r>
        <w:proofErr w:type="spellEnd"/>
        <w:r w:rsidR="00A00AC6" w:rsidRPr="00DD4D9F">
          <w:rPr>
            <w:rStyle w:val="Hyperlink"/>
            <w:rFonts w:cs="Times New Roman"/>
            <w:sz w:val="20"/>
            <w:szCs w:val="20"/>
            <w:u w:val="none"/>
          </w:rPr>
          <w:t xml:space="preserve"> 133:</w:t>
        </w:r>
        <w:r w:rsidR="000A18B8" w:rsidRPr="00DD4D9F">
          <w:rPr>
            <w:rStyle w:val="Hyperlink"/>
            <w:rFonts w:cs="Times New Roman"/>
            <w:sz w:val="20"/>
            <w:szCs w:val="20"/>
            <w:u w:val="none"/>
          </w:rPr>
          <w:t xml:space="preserve"> </w:t>
        </w:r>
        <w:r w:rsidR="00A00AC6" w:rsidRPr="00DD4D9F">
          <w:rPr>
            <w:rStyle w:val="Hyperlink"/>
            <w:rFonts w:cs="Times New Roman"/>
            <w:sz w:val="20"/>
            <w:szCs w:val="20"/>
            <w:u w:val="none"/>
          </w:rPr>
          <w:t>183-190.</w:t>
        </w:r>
      </w:hyperlink>
      <w:r w:rsidR="00A00AC6" w:rsidRPr="00DD4D9F">
        <w:rPr>
          <w:rFonts w:cs="Times New Roman"/>
          <w:sz w:val="20"/>
          <w:szCs w:val="20"/>
        </w:rPr>
        <w:t xml:space="preserve"> </w:t>
      </w:r>
    </w:p>
    <w:p w:rsidR="00A61666" w:rsidRPr="00DD4D9F" w:rsidRDefault="00CF0378" w:rsidP="00DD4D9F">
      <w:pPr>
        <w:pStyle w:val="ListParagraph"/>
        <w:numPr>
          <w:ilvl w:val="0"/>
          <w:numId w:val="13"/>
        </w:numPr>
        <w:mirrorIndents/>
        <w:jc w:val="both"/>
        <w:rPr>
          <w:rFonts w:cs="Times New Roman"/>
          <w:sz w:val="20"/>
          <w:szCs w:val="20"/>
        </w:rPr>
      </w:pPr>
      <w:hyperlink r:id="rId22" w:history="1">
        <w:proofErr w:type="spellStart"/>
        <w:r w:rsidR="00A61666" w:rsidRPr="00DD4D9F">
          <w:rPr>
            <w:rStyle w:val="Hyperlink"/>
            <w:rFonts w:cs="Times New Roman"/>
            <w:sz w:val="20"/>
            <w:szCs w:val="20"/>
            <w:u w:val="none"/>
          </w:rPr>
          <w:t>Heckel</w:t>
        </w:r>
        <w:proofErr w:type="spellEnd"/>
        <w:r w:rsidR="00A61666" w:rsidRPr="00DD4D9F">
          <w:rPr>
            <w:rStyle w:val="Hyperlink"/>
            <w:rFonts w:cs="Times New Roman"/>
            <w:sz w:val="20"/>
            <w:szCs w:val="20"/>
            <w:u w:val="none"/>
          </w:rPr>
          <w:t xml:space="preserve"> AR, </w:t>
        </w:r>
        <w:r w:rsidR="009F3BD7" w:rsidRPr="00DD4D9F">
          <w:rPr>
            <w:rStyle w:val="Hyperlink"/>
            <w:rFonts w:cs="Times New Roman"/>
            <w:sz w:val="20"/>
            <w:szCs w:val="20"/>
            <w:u w:val="none"/>
          </w:rPr>
          <w:t>Arcidiacono DM, Coonan KA (2022)</w:t>
        </w:r>
        <w:r w:rsidR="00A61666" w:rsidRPr="00DD4D9F">
          <w:rPr>
            <w:rStyle w:val="Hyperlink"/>
            <w:rFonts w:cs="Times New Roman"/>
            <w:sz w:val="20"/>
            <w:szCs w:val="20"/>
            <w:u w:val="none"/>
          </w:rPr>
          <w:t xml:space="preserve"> Twenty-Four-Hour Central Hemodynamic Load in Adults With and Without a History of COVID</w:t>
        </w:r>
        <w:r w:rsidR="0067671D" w:rsidRPr="00DD4D9F">
          <w:rPr>
            <w:rStyle w:val="Hyperlink"/>
            <w:rFonts w:cs="Times New Roman"/>
            <w:sz w:val="20"/>
            <w:szCs w:val="20"/>
            <w:u w:val="none"/>
          </w:rPr>
          <w:t xml:space="preserve">-19. Am J </w:t>
        </w:r>
        <w:proofErr w:type="spellStart"/>
        <w:r w:rsidR="0067671D" w:rsidRPr="00DD4D9F">
          <w:rPr>
            <w:rStyle w:val="Hyperlink"/>
            <w:rFonts w:cs="Times New Roman"/>
            <w:sz w:val="20"/>
            <w:szCs w:val="20"/>
            <w:u w:val="none"/>
          </w:rPr>
          <w:t>Hypertens</w:t>
        </w:r>
        <w:proofErr w:type="spellEnd"/>
        <w:r w:rsidR="0067671D" w:rsidRPr="00DD4D9F">
          <w:rPr>
            <w:rStyle w:val="Hyperlink"/>
            <w:rFonts w:cs="Times New Roman"/>
            <w:sz w:val="20"/>
            <w:szCs w:val="20"/>
            <w:u w:val="none"/>
          </w:rPr>
          <w:t xml:space="preserve"> </w:t>
        </w:r>
        <w:r w:rsidR="00A61666" w:rsidRPr="00DD4D9F">
          <w:rPr>
            <w:rStyle w:val="Hyperlink"/>
            <w:rFonts w:cs="Times New Roman"/>
            <w:sz w:val="20"/>
            <w:szCs w:val="20"/>
            <w:u w:val="none"/>
          </w:rPr>
          <w:t>35:</w:t>
        </w:r>
        <w:r w:rsidR="0067671D" w:rsidRPr="00DD4D9F">
          <w:rPr>
            <w:rStyle w:val="Hyperlink"/>
            <w:rFonts w:cs="Times New Roman"/>
            <w:sz w:val="20"/>
            <w:szCs w:val="20"/>
            <w:u w:val="none"/>
          </w:rPr>
          <w:t xml:space="preserve"> </w:t>
        </w:r>
        <w:r w:rsidR="00A61666" w:rsidRPr="00DD4D9F">
          <w:rPr>
            <w:rStyle w:val="Hyperlink"/>
            <w:rFonts w:cs="Times New Roman"/>
            <w:sz w:val="20"/>
            <w:szCs w:val="20"/>
            <w:u w:val="none"/>
          </w:rPr>
          <w:t>948-954.</w:t>
        </w:r>
      </w:hyperlink>
      <w:r w:rsidR="00A6166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23" w:history="1">
        <w:proofErr w:type="spellStart"/>
        <w:r w:rsidR="006706B8" w:rsidRPr="00DD4D9F">
          <w:rPr>
            <w:rStyle w:val="Hyperlink"/>
            <w:rFonts w:cs="Times New Roman"/>
            <w:sz w:val="20"/>
            <w:szCs w:val="20"/>
            <w:u w:val="none"/>
          </w:rPr>
          <w:t>Wasim</w:t>
        </w:r>
        <w:proofErr w:type="spellEnd"/>
        <w:r w:rsidR="006706B8" w:rsidRPr="00DD4D9F">
          <w:rPr>
            <w:rStyle w:val="Hyperlink"/>
            <w:rFonts w:cs="Times New Roman"/>
            <w:sz w:val="20"/>
            <w:szCs w:val="20"/>
            <w:u w:val="none"/>
          </w:rPr>
          <w:t xml:space="preserve"> D, </w:t>
        </w:r>
        <w:proofErr w:type="spellStart"/>
        <w:r w:rsidR="006706B8" w:rsidRPr="00DD4D9F">
          <w:rPr>
            <w:rStyle w:val="Hyperlink"/>
            <w:rFonts w:cs="Times New Roman"/>
            <w:sz w:val="20"/>
            <w:szCs w:val="20"/>
            <w:u w:val="none"/>
          </w:rPr>
          <w:t>Alme</w:t>
        </w:r>
        <w:proofErr w:type="spellEnd"/>
        <w:r w:rsidR="006706B8" w:rsidRPr="00DD4D9F">
          <w:rPr>
            <w:rStyle w:val="Hyperlink"/>
            <w:rFonts w:cs="Times New Roman"/>
            <w:sz w:val="20"/>
            <w:szCs w:val="20"/>
            <w:u w:val="none"/>
          </w:rPr>
          <w:t xml:space="preserve"> B, </w:t>
        </w:r>
        <w:proofErr w:type="spellStart"/>
        <w:r w:rsidR="006706B8" w:rsidRPr="00DD4D9F">
          <w:rPr>
            <w:rStyle w:val="Hyperlink"/>
            <w:rFonts w:cs="Times New Roman"/>
            <w:sz w:val="20"/>
            <w:szCs w:val="20"/>
            <w:u w:val="none"/>
          </w:rPr>
          <w:t>Jordal</w:t>
        </w:r>
        <w:proofErr w:type="spellEnd"/>
        <w:r w:rsidR="006706B8" w:rsidRPr="00DD4D9F">
          <w:rPr>
            <w:rStyle w:val="Hyperlink"/>
            <w:rFonts w:cs="Times New Roman"/>
            <w:sz w:val="20"/>
            <w:szCs w:val="20"/>
            <w:u w:val="none"/>
          </w:rPr>
          <w:t xml:space="preserve"> S (2021) </w:t>
        </w:r>
        <w:r w:rsidR="00A00AC6" w:rsidRPr="00DD4D9F">
          <w:rPr>
            <w:rStyle w:val="Hyperlink"/>
            <w:rFonts w:cs="Times New Roman"/>
            <w:sz w:val="20"/>
            <w:szCs w:val="20"/>
            <w:u w:val="none"/>
          </w:rPr>
          <w:t>Characteristics of 24-hour ambulatory blood pressure monitoring in a COVID-19 survivo</w:t>
        </w:r>
        <w:r w:rsidR="00983649" w:rsidRPr="00DD4D9F">
          <w:rPr>
            <w:rStyle w:val="Hyperlink"/>
            <w:rFonts w:cs="Times New Roman"/>
            <w:sz w:val="20"/>
            <w:szCs w:val="20"/>
            <w:u w:val="none"/>
          </w:rPr>
          <w:t>r. Future Cardiology 17</w:t>
        </w:r>
        <w:r w:rsidR="00A00AC6" w:rsidRPr="00DD4D9F">
          <w:rPr>
            <w:rStyle w:val="Hyperlink"/>
            <w:rFonts w:cs="Times New Roman"/>
            <w:sz w:val="20"/>
            <w:szCs w:val="20"/>
            <w:u w:val="none"/>
          </w:rPr>
          <w:t>:</w:t>
        </w:r>
        <w:r w:rsidR="00983649" w:rsidRPr="00DD4D9F">
          <w:rPr>
            <w:rStyle w:val="Hyperlink"/>
            <w:rFonts w:cs="Times New Roman"/>
            <w:sz w:val="20"/>
            <w:szCs w:val="20"/>
            <w:u w:val="none"/>
          </w:rPr>
          <w:t xml:space="preserve"> </w:t>
        </w:r>
        <w:r w:rsidR="00A00AC6" w:rsidRPr="00DD4D9F">
          <w:rPr>
            <w:rStyle w:val="Hyperlink"/>
            <w:rFonts w:cs="Times New Roman"/>
            <w:sz w:val="20"/>
            <w:szCs w:val="20"/>
            <w:u w:val="none"/>
          </w:rPr>
          <w:t>1321-1326.</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24" w:history="1">
        <w:proofErr w:type="spellStart"/>
        <w:r w:rsidR="00A00AC6" w:rsidRPr="00DD4D9F">
          <w:rPr>
            <w:rStyle w:val="Hyperlink"/>
            <w:rFonts w:cs="Times New Roman"/>
            <w:sz w:val="20"/>
            <w:szCs w:val="20"/>
            <w:u w:val="none"/>
          </w:rPr>
          <w:t>Sivri</w:t>
        </w:r>
        <w:proofErr w:type="spellEnd"/>
        <w:r w:rsidR="00A00AC6" w:rsidRPr="00DD4D9F">
          <w:rPr>
            <w:rStyle w:val="Hyperlink"/>
            <w:rFonts w:cs="Times New Roman"/>
            <w:sz w:val="20"/>
            <w:szCs w:val="20"/>
            <w:u w:val="none"/>
          </w:rPr>
          <w:t xml:space="preserve"> F, </w:t>
        </w:r>
        <w:proofErr w:type="spellStart"/>
        <w:r w:rsidR="00A00AC6" w:rsidRPr="00DD4D9F">
          <w:rPr>
            <w:rStyle w:val="Hyperlink"/>
            <w:rFonts w:cs="Times New Roman"/>
            <w:sz w:val="20"/>
            <w:szCs w:val="20"/>
            <w:u w:val="none"/>
          </w:rPr>
          <w:t>Türköz</w:t>
        </w:r>
        <w:proofErr w:type="spellEnd"/>
        <w:r w:rsidR="00A00AC6" w:rsidRPr="00DD4D9F">
          <w:rPr>
            <w:rStyle w:val="Hyperlink"/>
            <w:rFonts w:cs="Times New Roman"/>
            <w:sz w:val="20"/>
            <w:szCs w:val="20"/>
            <w:u w:val="none"/>
          </w:rPr>
          <w:t xml:space="preserve"> I, </w:t>
        </w:r>
        <w:proofErr w:type="spellStart"/>
        <w:r w:rsidR="00A00AC6" w:rsidRPr="00DD4D9F">
          <w:rPr>
            <w:rStyle w:val="Hyperlink"/>
            <w:rFonts w:cs="Times New Roman"/>
            <w:sz w:val="20"/>
            <w:szCs w:val="20"/>
            <w:u w:val="none"/>
          </w:rPr>
          <w:t>Şencan</w:t>
        </w:r>
        <w:proofErr w:type="spellEnd"/>
        <w:r w:rsidR="00A00AC6" w:rsidRPr="00DD4D9F">
          <w:rPr>
            <w:rStyle w:val="Hyperlink"/>
            <w:rFonts w:cs="Times New Roman"/>
            <w:sz w:val="20"/>
            <w:szCs w:val="20"/>
            <w:u w:val="none"/>
          </w:rPr>
          <w:t xml:space="preserve"> M, </w:t>
        </w:r>
        <w:proofErr w:type="spellStart"/>
        <w:r w:rsidR="00A00AC6" w:rsidRPr="00DD4D9F">
          <w:rPr>
            <w:rStyle w:val="Hyperlink"/>
            <w:rFonts w:cs="Times New Roman"/>
            <w:sz w:val="20"/>
            <w:szCs w:val="20"/>
            <w:u w:val="none"/>
          </w:rPr>
          <w:t>İçen</w:t>
        </w:r>
        <w:proofErr w:type="spellEnd"/>
        <w:r w:rsidR="00A00AC6" w:rsidRPr="00DD4D9F">
          <w:rPr>
            <w:rStyle w:val="Hyperlink"/>
            <w:rFonts w:cs="Times New Roman"/>
            <w:sz w:val="20"/>
            <w:szCs w:val="20"/>
            <w:u w:val="none"/>
          </w:rPr>
          <w:t xml:space="preserve"> YK, </w:t>
        </w:r>
        <w:proofErr w:type="spellStart"/>
        <w:r w:rsidR="00A00AC6" w:rsidRPr="00DD4D9F">
          <w:rPr>
            <w:rStyle w:val="Hyperlink"/>
            <w:rFonts w:cs="Times New Roman"/>
            <w:sz w:val="20"/>
            <w:szCs w:val="20"/>
            <w:u w:val="none"/>
          </w:rPr>
          <w:t>Aksoy</w:t>
        </w:r>
        <w:proofErr w:type="spellEnd"/>
        <w:r w:rsidR="00A00AC6" w:rsidRPr="00DD4D9F">
          <w:rPr>
            <w:rStyle w:val="Hyperlink"/>
            <w:rFonts w:cs="Times New Roman"/>
            <w:sz w:val="20"/>
            <w:szCs w:val="20"/>
            <w:u w:val="none"/>
          </w:rPr>
          <w:t xml:space="preserve"> F, </w:t>
        </w:r>
        <w:r w:rsidR="004E076B" w:rsidRPr="00DD4D9F">
          <w:rPr>
            <w:rStyle w:val="Hyperlink"/>
            <w:rFonts w:cs="Times New Roman"/>
            <w:sz w:val="20"/>
            <w:szCs w:val="20"/>
            <w:u w:val="none"/>
          </w:rPr>
          <w:t>et al</w:t>
        </w:r>
        <w:r w:rsidR="00A00AC6" w:rsidRPr="00DD4D9F">
          <w:rPr>
            <w:rStyle w:val="Hyperlink"/>
            <w:rFonts w:cs="Times New Roman"/>
            <w:sz w:val="20"/>
            <w:szCs w:val="20"/>
            <w:u w:val="none"/>
          </w:rPr>
          <w:t>.</w:t>
        </w:r>
        <w:r w:rsidR="004E076B" w:rsidRPr="00DD4D9F">
          <w:rPr>
            <w:rStyle w:val="Hyperlink"/>
            <w:rFonts w:cs="Times New Roman"/>
            <w:sz w:val="20"/>
            <w:szCs w:val="20"/>
            <w:u w:val="none"/>
          </w:rPr>
          <w:t xml:space="preserve"> (2020)</w:t>
        </w:r>
        <w:r w:rsidR="00A00AC6" w:rsidRPr="00DD4D9F">
          <w:rPr>
            <w:rStyle w:val="Hyperlink"/>
            <w:rFonts w:cs="Times New Roman"/>
            <w:sz w:val="20"/>
            <w:szCs w:val="20"/>
            <w:u w:val="none"/>
          </w:rPr>
          <w:t xml:space="preserve"> Does COVID-19 Cause Non-Dıpp</w:t>
        </w:r>
        <w:r w:rsidR="001A3843" w:rsidRPr="00DD4D9F">
          <w:rPr>
            <w:rStyle w:val="Hyperlink"/>
            <w:rFonts w:cs="Times New Roman"/>
            <w:sz w:val="20"/>
            <w:szCs w:val="20"/>
            <w:u w:val="none"/>
          </w:rPr>
          <w:t>er Hypertension? Angiology 20</w:t>
        </w:r>
        <w:r w:rsidR="00A00AC6" w:rsidRPr="00DD4D9F">
          <w:rPr>
            <w:rStyle w:val="Hyperlink"/>
            <w:rFonts w:cs="Times New Roman"/>
            <w:sz w:val="20"/>
            <w:szCs w:val="20"/>
            <w:u w:val="none"/>
          </w:rPr>
          <w:t>:</w:t>
        </w:r>
        <w:r w:rsidR="001A3843" w:rsidRPr="00DD4D9F">
          <w:rPr>
            <w:rStyle w:val="Hyperlink"/>
            <w:rFonts w:cs="Times New Roman"/>
            <w:sz w:val="20"/>
            <w:szCs w:val="20"/>
            <w:u w:val="none"/>
          </w:rPr>
          <w:t xml:space="preserve"> </w:t>
        </w:r>
        <w:r w:rsidR="00A00AC6" w:rsidRPr="00DD4D9F">
          <w:rPr>
            <w:rStyle w:val="Hyperlink"/>
            <w:rFonts w:cs="Times New Roman"/>
            <w:sz w:val="20"/>
            <w:szCs w:val="20"/>
            <w:u w:val="none"/>
          </w:rPr>
          <w:t>00033197231209584.</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25" w:history="1">
        <w:r w:rsidR="00A00AC6" w:rsidRPr="00DD4D9F">
          <w:rPr>
            <w:rStyle w:val="Hyperlink"/>
            <w:rFonts w:cs="Times New Roman"/>
            <w:sz w:val="20"/>
            <w:szCs w:val="20"/>
            <w:u w:val="none"/>
          </w:rPr>
          <w:t xml:space="preserve">Zhang V, Fisher M, </w:t>
        </w:r>
        <w:proofErr w:type="spellStart"/>
        <w:r w:rsidR="00A00AC6" w:rsidRPr="00DD4D9F">
          <w:rPr>
            <w:rStyle w:val="Hyperlink"/>
            <w:rFonts w:cs="Times New Roman"/>
            <w:sz w:val="20"/>
            <w:szCs w:val="20"/>
            <w:u w:val="none"/>
          </w:rPr>
          <w:t>Hou</w:t>
        </w:r>
        <w:proofErr w:type="spellEnd"/>
        <w:r w:rsidR="00A00AC6" w:rsidRPr="00DD4D9F">
          <w:rPr>
            <w:rStyle w:val="Hyperlink"/>
            <w:rFonts w:cs="Times New Roman"/>
            <w:sz w:val="20"/>
            <w:szCs w:val="20"/>
            <w:u w:val="none"/>
          </w:rPr>
          <w:t xml:space="preserve"> W, Zhang L, Duong TQ</w:t>
        </w:r>
        <w:r w:rsidR="00EC3814" w:rsidRPr="00DD4D9F">
          <w:rPr>
            <w:rStyle w:val="Hyperlink"/>
            <w:rFonts w:cs="Times New Roman"/>
            <w:sz w:val="20"/>
            <w:szCs w:val="20"/>
            <w:u w:val="none"/>
          </w:rPr>
          <w:t xml:space="preserve"> (2023)</w:t>
        </w:r>
        <w:r w:rsidR="00A00AC6" w:rsidRPr="00DD4D9F">
          <w:rPr>
            <w:rStyle w:val="Hyperlink"/>
            <w:rFonts w:cs="Times New Roman"/>
            <w:sz w:val="20"/>
            <w:szCs w:val="20"/>
            <w:u w:val="none"/>
          </w:rPr>
          <w:t xml:space="preserve"> Incidence of New-Onset Hypertension Post–COVID-19: Comparison Wit</w:t>
        </w:r>
        <w:r w:rsidR="00B8792B" w:rsidRPr="00DD4D9F">
          <w:rPr>
            <w:rStyle w:val="Hyperlink"/>
            <w:rFonts w:cs="Times New Roman"/>
            <w:sz w:val="20"/>
            <w:szCs w:val="20"/>
            <w:u w:val="none"/>
          </w:rPr>
          <w:t xml:space="preserve">h Influenza. Hypertension </w:t>
        </w:r>
        <w:r w:rsidR="00A00AC6" w:rsidRPr="00DD4D9F">
          <w:rPr>
            <w:rStyle w:val="Hyperlink"/>
            <w:rFonts w:cs="Times New Roman"/>
            <w:sz w:val="20"/>
            <w:szCs w:val="20"/>
            <w:u w:val="none"/>
          </w:rPr>
          <w:t>80:</w:t>
        </w:r>
        <w:r w:rsidR="00B8792B" w:rsidRPr="00DD4D9F">
          <w:rPr>
            <w:rStyle w:val="Hyperlink"/>
            <w:rFonts w:cs="Times New Roman"/>
            <w:sz w:val="20"/>
            <w:szCs w:val="20"/>
            <w:u w:val="none"/>
          </w:rPr>
          <w:t xml:space="preserve"> </w:t>
        </w:r>
        <w:r w:rsidR="00A00AC6" w:rsidRPr="00DD4D9F">
          <w:rPr>
            <w:rStyle w:val="Hyperlink"/>
            <w:rFonts w:cs="Times New Roman"/>
            <w:sz w:val="20"/>
            <w:szCs w:val="20"/>
            <w:u w:val="none"/>
          </w:rPr>
          <w:t>2135-2148.</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26" w:history="1">
        <w:r w:rsidR="00A00AC6" w:rsidRPr="00DD4D9F">
          <w:rPr>
            <w:rStyle w:val="Hyperlink"/>
            <w:rFonts w:cs="Times New Roman"/>
            <w:sz w:val="20"/>
            <w:szCs w:val="20"/>
            <w:u w:val="none"/>
          </w:rPr>
          <w:t xml:space="preserve">Krupp LB, </w:t>
        </w:r>
        <w:proofErr w:type="spellStart"/>
        <w:r w:rsidR="00A00AC6" w:rsidRPr="00DD4D9F">
          <w:rPr>
            <w:rStyle w:val="Hyperlink"/>
            <w:rFonts w:cs="Times New Roman"/>
            <w:sz w:val="20"/>
            <w:szCs w:val="20"/>
            <w:u w:val="none"/>
          </w:rPr>
          <w:t>LaRocc</w:t>
        </w:r>
        <w:r w:rsidR="00B8792B" w:rsidRPr="00DD4D9F">
          <w:rPr>
            <w:rStyle w:val="Hyperlink"/>
            <w:rFonts w:cs="Times New Roman"/>
            <w:sz w:val="20"/>
            <w:szCs w:val="20"/>
            <w:u w:val="none"/>
          </w:rPr>
          <w:t>a</w:t>
        </w:r>
        <w:proofErr w:type="spellEnd"/>
        <w:r w:rsidR="00B8792B" w:rsidRPr="00DD4D9F">
          <w:rPr>
            <w:rStyle w:val="Hyperlink"/>
            <w:rFonts w:cs="Times New Roman"/>
            <w:sz w:val="20"/>
            <w:szCs w:val="20"/>
            <w:u w:val="none"/>
          </w:rPr>
          <w:t xml:space="preserve"> NG, Muir-Nash J, Steinberg AD (1989)</w:t>
        </w:r>
        <w:r w:rsidR="00A00AC6" w:rsidRPr="00DD4D9F">
          <w:rPr>
            <w:rStyle w:val="Hyperlink"/>
            <w:rFonts w:cs="Times New Roman"/>
            <w:sz w:val="20"/>
            <w:szCs w:val="20"/>
            <w:u w:val="none"/>
          </w:rPr>
          <w:t xml:space="preserve"> The fatigue severity scale. Application to patients with multiple sclerosis and systemic lupus erythematos</w:t>
        </w:r>
        <w:r w:rsidR="00024BAA" w:rsidRPr="00DD4D9F">
          <w:rPr>
            <w:rStyle w:val="Hyperlink"/>
            <w:rFonts w:cs="Times New Roman"/>
            <w:sz w:val="20"/>
            <w:szCs w:val="20"/>
            <w:u w:val="none"/>
          </w:rPr>
          <w:t xml:space="preserve">us. Arch </w:t>
        </w:r>
        <w:proofErr w:type="spellStart"/>
        <w:r w:rsidR="00024BAA" w:rsidRPr="00DD4D9F">
          <w:rPr>
            <w:rStyle w:val="Hyperlink"/>
            <w:rFonts w:cs="Times New Roman"/>
            <w:sz w:val="20"/>
            <w:szCs w:val="20"/>
            <w:u w:val="none"/>
          </w:rPr>
          <w:t>Neurol</w:t>
        </w:r>
        <w:proofErr w:type="spellEnd"/>
        <w:r w:rsidR="00024BAA" w:rsidRPr="00DD4D9F">
          <w:rPr>
            <w:rStyle w:val="Hyperlink"/>
            <w:rFonts w:cs="Times New Roman"/>
            <w:sz w:val="20"/>
            <w:szCs w:val="20"/>
            <w:u w:val="none"/>
          </w:rPr>
          <w:t xml:space="preserve"> 46</w:t>
        </w:r>
        <w:r w:rsidR="00A00AC6" w:rsidRPr="00DD4D9F">
          <w:rPr>
            <w:rStyle w:val="Hyperlink"/>
            <w:rFonts w:cs="Times New Roman"/>
            <w:sz w:val="20"/>
            <w:szCs w:val="20"/>
            <w:u w:val="none"/>
          </w:rPr>
          <w:t>:</w:t>
        </w:r>
        <w:r w:rsidR="00024BAA" w:rsidRPr="00DD4D9F">
          <w:rPr>
            <w:rStyle w:val="Hyperlink"/>
            <w:rFonts w:cs="Times New Roman"/>
            <w:sz w:val="20"/>
            <w:szCs w:val="20"/>
            <w:u w:val="none"/>
          </w:rPr>
          <w:t xml:space="preserve"> </w:t>
        </w:r>
        <w:r w:rsidR="00A00AC6" w:rsidRPr="00DD4D9F">
          <w:rPr>
            <w:rStyle w:val="Hyperlink"/>
            <w:rFonts w:cs="Times New Roman"/>
            <w:sz w:val="20"/>
            <w:szCs w:val="20"/>
            <w:u w:val="none"/>
          </w:rPr>
          <w:t>1121-</w:t>
        </w:r>
        <w:r w:rsidR="00024BAA" w:rsidRPr="00DD4D9F">
          <w:rPr>
            <w:rStyle w:val="Hyperlink"/>
            <w:rFonts w:cs="Times New Roman"/>
            <w:sz w:val="20"/>
            <w:szCs w:val="20"/>
            <w:u w:val="none"/>
          </w:rPr>
          <w:t>112</w:t>
        </w:r>
        <w:r w:rsidR="00A00AC6" w:rsidRPr="00DD4D9F">
          <w:rPr>
            <w:rStyle w:val="Hyperlink"/>
            <w:rFonts w:cs="Times New Roman"/>
            <w:sz w:val="20"/>
            <w:szCs w:val="20"/>
            <w:u w:val="none"/>
          </w:rPr>
          <w:t>3.</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27" w:history="1">
        <w:r w:rsidR="007E6870" w:rsidRPr="00DD4D9F">
          <w:rPr>
            <w:rStyle w:val="Hyperlink"/>
            <w:rFonts w:cs="Times New Roman"/>
            <w:sz w:val="20"/>
            <w:szCs w:val="20"/>
            <w:u w:val="none"/>
          </w:rPr>
          <w:t>El-</w:t>
        </w:r>
        <w:proofErr w:type="spellStart"/>
        <w:r w:rsidR="00A00AC6" w:rsidRPr="00DD4D9F">
          <w:rPr>
            <w:rStyle w:val="Hyperlink"/>
            <w:rFonts w:cs="Times New Roman"/>
            <w:sz w:val="20"/>
            <w:szCs w:val="20"/>
            <w:u w:val="none"/>
          </w:rPr>
          <w:t>Assaad</w:t>
        </w:r>
        <w:proofErr w:type="spellEnd"/>
        <w:r w:rsidR="00A00AC6" w:rsidRPr="00DD4D9F">
          <w:rPr>
            <w:rStyle w:val="Hyperlink"/>
            <w:rFonts w:cs="Times New Roman"/>
            <w:sz w:val="20"/>
            <w:szCs w:val="20"/>
            <w:u w:val="none"/>
          </w:rPr>
          <w:t xml:space="preserve"> MA, </w:t>
        </w:r>
        <w:proofErr w:type="spellStart"/>
        <w:r w:rsidR="00A00AC6" w:rsidRPr="00DD4D9F">
          <w:rPr>
            <w:rStyle w:val="Hyperlink"/>
            <w:rFonts w:cs="Times New Roman"/>
            <w:sz w:val="20"/>
            <w:szCs w:val="20"/>
            <w:u w:val="none"/>
          </w:rPr>
          <w:t>To</w:t>
        </w:r>
        <w:r w:rsidR="005179AA" w:rsidRPr="00DD4D9F">
          <w:rPr>
            <w:rStyle w:val="Hyperlink"/>
            <w:rFonts w:cs="Times New Roman"/>
            <w:sz w:val="20"/>
            <w:szCs w:val="20"/>
            <w:u w:val="none"/>
          </w:rPr>
          <w:t>pouchian</w:t>
        </w:r>
        <w:proofErr w:type="spellEnd"/>
        <w:r w:rsidR="005179AA" w:rsidRPr="00DD4D9F">
          <w:rPr>
            <w:rStyle w:val="Hyperlink"/>
            <w:rFonts w:cs="Times New Roman"/>
            <w:sz w:val="20"/>
            <w:szCs w:val="20"/>
            <w:u w:val="none"/>
          </w:rPr>
          <w:t xml:space="preserve"> JA, </w:t>
        </w:r>
        <w:proofErr w:type="spellStart"/>
        <w:r w:rsidR="005179AA" w:rsidRPr="00DD4D9F">
          <w:rPr>
            <w:rStyle w:val="Hyperlink"/>
            <w:rFonts w:cs="Times New Roman"/>
            <w:sz w:val="20"/>
            <w:szCs w:val="20"/>
            <w:u w:val="none"/>
          </w:rPr>
          <w:t>Darné</w:t>
        </w:r>
        <w:proofErr w:type="spellEnd"/>
        <w:r w:rsidR="005179AA" w:rsidRPr="00DD4D9F">
          <w:rPr>
            <w:rStyle w:val="Hyperlink"/>
            <w:rFonts w:cs="Times New Roman"/>
            <w:sz w:val="20"/>
            <w:szCs w:val="20"/>
            <w:u w:val="none"/>
          </w:rPr>
          <w:t xml:space="preserve"> BM, </w:t>
        </w:r>
        <w:proofErr w:type="spellStart"/>
        <w:r w:rsidR="005179AA" w:rsidRPr="00DD4D9F">
          <w:rPr>
            <w:rStyle w:val="Hyperlink"/>
            <w:rFonts w:cs="Times New Roman"/>
            <w:sz w:val="20"/>
            <w:szCs w:val="20"/>
            <w:u w:val="none"/>
          </w:rPr>
          <w:t>Asmar</w:t>
        </w:r>
        <w:proofErr w:type="spellEnd"/>
        <w:r w:rsidR="005179AA" w:rsidRPr="00DD4D9F">
          <w:rPr>
            <w:rStyle w:val="Hyperlink"/>
            <w:rFonts w:cs="Times New Roman"/>
            <w:sz w:val="20"/>
            <w:szCs w:val="20"/>
            <w:u w:val="none"/>
          </w:rPr>
          <w:t xml:space="preserve"> RG (2002)</w:t>
        </w:r>
        <w:r w:rsidR="00A00AC6" w:rsidRPr="00DD4D9F">
          <w:rPr>
            <w:rStyle w:val="Hyperlink"/>
            <w:rFonts w:cs="Times New Roman"/>
            <w:sz w:val="20"/>
            <w:szCs w:val="20"/>
            <w:u w:val="none"/>
          </w:rPr>
          <w:t xml:space="preserve"> Validation of the Omron HEM-907 device for blood pressure m</w:t>
        </w:r>
        <w:r w:rsidR="005179AA" w:rsidRPr="00DD4D9F">
          <w:rPr>
            <w:rStyle w:val="Hyperlink"/>
            <w:rFonts w:cs="Times New Roman"/>
            <w:sz w:val="20"/>
            <w:szCs w:val="20"/>
            <w:u w:val="none"/>
          </w:rPr>
          <w:t xml:space="preserve">easurement. Blood Press </w:t>
        </w:r>
        <w:proofErr w:type="spellStart"/>
        <w:r w:rsidR="005179AA" w:rsidRPr="00DD4D9F">
          <w:rPr>
            <w:rStyle w:val="Hyperlink"/>
            <w:rFonts w:cs="Times New Roman"/>
            <w:sz w:val="20"/>
            <w:szCs w:val="20"/>
            <w:u w:val="none"/>
          </w:rPr>
          <w:t>Monit</w:t>
        </w:r>
        <w:proofErr w:type="spellEnd"/>
        <w:r w:rsidR="005179AA" w:rsidRPr="00DD4D9F">
          <w:rPr>
            <w:rStyle w:val="Hyperlink"/>
            <w:rFonts w:cs="Times New Roman"/>
            <w:sz w:val="20"/>
            <w:szCs w:val="20"/>
            <w:u w:val="none"/>
          </w:rPr>
          <w:t xml:space="preserve"> </w:t>
        </w:r>
        <w:r w:rsidR="00A00AC6" w:rsidRPr="00DD4D9F">
          <w:rPr>
            <w:rStyle w:val="Hyperlink"/>
            <w:rFonts w:cs="Times New Roman"/>
            <w:sz w:val="20"/>
            <w:szCs w:val="20"/>
            <w:u w:val="none"/>
          </w:rPr>
          <w:t>7:</w:t>
        </w:r>
        <w:r w:rsidR="005179AA" w:rsidRPr="00DD4D9F">
          <w:rPr>
            <w:rStyle w:val="Hyperlink"/>
            <w:rFonts w:cs="Times New Roman"/>
            <w:sz w:val="20"/>
            <w:szCs w:val="20"/>
            <w:u w:val="none"/>
          </w:rPr>
          <w:t xml:space="preserve"> </w:t>
        </w:r>
        <w:r w:rsidR="00A00AC6" w:rsidRPr="00DD4D9F">
          <w:rPr>
            <w:rStyle w:val="Hyperlink"/>
            <w:rFonts w:cs="Times New Roman"/>
            <w:sz w:val="20"/>
            <w:szCs w:val="20"/>
            <w:u w:val="none"/>
          </w:rPr>
          <w:t>237-</w:t>
        </w:r>
        <w:r w:rsidR="005179AA" w:rsidRPr="00DD4D9F">
          <w:rPr>
            <w:rStyle w:val="Hyperlink"/>
            <w:rFonts w:cs="Times New Roman"/>
            <w:sz w:val="20"/>
            <w:szCs w:val="20"/>
            <w:u w:val="none"/>
          </w:rPr>
          <w:t>2</w:t>
        </w:r>
        <w:r w:rsidR="00A00AC6" w:rsidRPr="00DD4D9F">
          <w:rPr>
            <w:rStyle w:val="Hyperlink"/>
            <w:rFonts w:cs="Times New Roman"/>
            <w:sz w:val="20"/>
            <w:szCs w:val="20"/>
            <w:u w:val="none"/>
          </w:rPr>
          <w:t>41.</w:t>
        </w:r>
      </w:hyperlink>
    </w:p>
    <w:p w:rsidR="00A00AC6" w:rsidRPr="00DD4D9F" w:rsidRDefault="00CF0378" w:rsidP="00DD4D9F">
      <w:pPr>
        <w:pStyle w:val="ListParagraph"/>
        <w:numPr>
          <w:ilvl w:val="0"/>
          <w:numId w:val="13"/>
        </w:numPr>
        <w:mirrorIndents/>
        <w:jc w:val="both"/>
        <w:rPr>
          <w:rFonts w:cs="Times New Roman"/>
          <w:sz w:val="20"/>
          <w:szCs w:val="20"/>
        </w:rPr>
      </w:pPr>
      <w:hyperlink r:id="rId28" w:history="1">
        <w:r w:rsidR="00A00AC6" w:rsidRPr="00DD4D9F">
          <w:rPr>
            <w:rStyle w:val="Hyperlink"/>
            <w:rFonts w:cs="Times New Roman"/>
            <w:sz w:val="20"/>
            <w:szCs w:val="20"/>
            <w:u w:val="none"/>
          </w:rPr>
          <w:t xml:space="preserve">Cheung AK, </w:t>
        </w:r>
        <w:proofErr w:type="spellStart"/>
        <w:r w:rsidR="00A00AC6" w:rsidRPr="00DD4D9F">
          <w:rPr>
            <w:rStyle w:val="Hyperlink"/>
            <w:rFonts w:cs="Times New Roman"/>
            <w:sz w:val="20"/>
            <w:szCs w:val="20"/>
            <w:u w:val="none"/>
          </w:rPr>
          <w:t>Whelton</w:t>
        </w:r>
        <w:proofErr w:type="spellEnd"/>
        <w:r w:rsidR="00A00AC6" w:rsidRPr="00DD4D9F">
          <w:rPr>
            <w:rStyle w:val="Hyperlink"/>
            <w:rFonts w:cs="Times New Roman"/>
            <w:sz w:val="20"/>
            <w:szCs w:val="20"/>
            <w:u w:val="none"/>
          </w:rPr>
          <w:t xml:space="preserve"> PK, </w:t>
        </w:r>
        <w:proofErr w:type="spellStart"/>
        <w:r w:rsidR="00A00AC6" w:rsidRPr="00DD4D9F">
          <w:rPr>
            <w:rStyle w:val="Hyperlink"/>
            <w:rFonts w:cs="Times New Roman"/>
            <w:sz w:val="20"/>
            <w:szCs w:val="20"/>
            <w:u w:val="none"/>
          </w:rPr>
          <w:t>Muntner</w:t>
        </w:r>
        <w:proofErr w:type="spellEnd"/>
        <w:r w:rsidR="00A00AC6" w:rsidRPr="00DD4D9F">
          <w:rPr>
            <w:rStyle w:val="Hyperlink"/>
            <w:rFonts w:cs="Times New Roman"/>
            <w:sz w:val="20"/>
            <w:szCs w:val="20"/>
            <w:u w:val="none"/>
          </w:rPr>
          <w:t xml:space="preserve"> P</w:t>
        </w:r>
        <w:r w:rsidR="001353ED" w:rsidRPr="00DD4D9F">
          <w:rPr>
            <w:rStyle w:val="Hyperlink"/>
            <w:rFonts w:cs="Times New Roman"/>
            <w:sz w:val="20"/>
            <w:szCs w:val="20"/>
            <w:u w:val="none"/>
          </w:rPr>
          <w:t xml:space="preserve"> (2023)</w:t>
        </w:r>
        <w:r w:rsidR="00A00AC6" w:rsidRPr="00DD4D9F">
          <w:rPr>
            <w:rStyle w:val="Hyperlink"/>
            <w:rFonts w:cs="Times New Roman"/>
            <w:sz w:val="20"/>
            <w:szCs w:val="20"/>
            <w:u w:val="none"/>
          </w:rPr>
          <w:t xml:space="preserve"> International Consensus on Standardized Clinic Blood Pressure Measurement - A Ca</w:t>
        </w:r>
        <w:r w:rsidR="00837646" w:rsidRPr="00DD4D9F">
          <w:rPr>
            <w:rStyle w:val="Hyperlink"/>
            <w:rFonts w:cs="Times New Roman"/>
            <w:sz w:val="20"/>
            <w:szCs w:val="20"/>
            <w:u w:val="none"/>
          </w:rPr>
          <w:t xml:space="preserve">ll to Action. Am J Med </w:t>
        </w:r>
        <w:r w:rsidR="00A00AC6" w:rsidRPr="00DD4D9F">
          <w:rPr>
            <w:rStyle w:val="Hyperlink"/>
            <w:rFonts w:cs="Times New Roman"/>
            <w:sz w:val="20"/>
            <w:szCs w:val="20"/>
            <w:u w:val="none"/>
          </w:rPr>
          <w:t>136:</w:t>
        </w:r>
        <w:r w:rsidR="00837646" w:rsidRPr="00DD4D9F">
          <w:rPr>
            <w:rStyle w:val="Hyperlink"/>
            <w:rFonts w:cs="Times New Roman"/>
            <w:sz w:val="20"/>
            <w:szCs w:val="20"/>
            <w:u w:val="none"/>
          </w:rPr>
          <w:t xml:space="preserve"> </w:t>
        </w:r>
        <w:r w:rsidR="00A00AC6" w:rsidRPr="00DD4D9F">
          <w:rPr>
            <w:rStyle w:val="Hyperlink"/>
            <w:rFonts w:cs="Times New Roman"/>
            <w:sz w:val="20"/>
            <w:szCs w:val="20"/>
            <w:u w:val="none"/>
          </w:rPr>
          <w:t>438-445.e1.</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29" w:history="1">
        <w:proofErr w:type="spellStart"/>
        <w:r w:rsidR="00C64846" w:rsidRPr="00DD4D9F">
          <w:rPr>
            <w:rStyle w:val="Hyperlink"/>
            <w:rFonts w:cs="Times New Roman"/>
            <w:sz w:val="20"/>
            <w:szCs w:val="20"/>
            <w:u w:val="none"/>
          </w:rPr>
          <w:t>Muntner</w:t>
        </w:r>
        <w:proofErr w:type="spellEnd"/>
        <w:r w:rsidR="00C64846" w:rsidRPr="00DD4D9F">
          <w:rPr>
            <w:rStyle w:val="Hyperlink"/>
            <w:rFonts w:cs="Times New Roman"/>
            <w:sz w:val="20"/>
            <w:szCs w:val="20"/>
            <w:u w:val="none"/>
          </w:rPr>
          <w:t xml:space="preserve"> P, </w:t>
        </w:r>
        <w:proofErr w:type="spellStart"/>
        <w:r w:rsidR="00C64846" w:rsidRPr="00DD4D9F">
          <w:rPr>
            <w:rStyle w:val="Hyperlink"/>
            <w:rFonts w:cs="Times New Roman"/>
            <w:sz w:val="20"/>
            <w:szCs w:val="20"/>
            <w:u w:val="none"/>
          </w:rPr>
          <w:t>Shimbo</w:t>
        </w:r>
        <w:proofErr w:type="spellEnd"/>
        <w:r w:rsidR="00C64846" w:rsidRPr="00DD4D9F">
          <w:rPr>
            <w:rStyle w:val="Hyperlink"/>
            <w:rFonts w:cs="Times New Roman"/>
            <w:sz w:val="20"/>
            <w:szCs w:val="20"/>
            <w:u w:val="none"/>
          </w:rPr>
          <w:t xml:space="preserve"> D, Carey RM (2019)</w:t>
        </w:r>
        <w:r w:rsidR="00A00AC6" w:rsidRPr="00DD4D9F">
          <w:rPr>
            <w:rStyle w:val="Hyperlink"/>
            <w:rFonts w:cs="Times New Roman"/>
            <w:sz w:val="20"/>
            <w:szCs w:val="20"/>
            <w:u w:val="none"/>
          </w:rPr>
          <w:t xml:space="preserve"> Measurement of Blood Pressure in Humans: A Scientific Statement </w:t>
        </w:r>
        <w:r w:rsidR="00C64846" w:rsidRPr="00DD4D9F">
          <w:rPr>
            <w:rStyle w:val="Hyperlink"/>
            <w:rFonts w:cs="Times New Roman"/>
            <w:sz w:val="20"/>
            <w:szCs w:val="20"/>
            <w:u w:val="none"/>
          </w:rPr>
          <w:t>f</w:t>
        </w:r>
        <w:r w:rsidR="00A00AC6" w:rsidRPr="00DD4D9F">
          <w:rPr>
            <w:rStyle w:val="Hyperlink"/>
            <w:rFonts w:cs="Times New Roman"/>
            <w:sz w:val="20"/>
            <w:szCs w:val="20"/>
            <w:u w:val="none"/>
          </w:rPr>
          <w:t>rom the American Heart Asso</w:t>
        </w:r>
        <w:r w:rsidR="00C64846" w:rsidRPr="00DD4D9F">
          <w:rPr>
            <w:rStyle w:val="Hyperlink"/>
            <w:rFonts w:cs="Times New Roman"/>
            <w:sz w:val="20"/>
            <w:szCs w:val="20"/>
            <w:u w:val="none"/>
          </w:rPr>
          <w:t>ciation. Hypertension 73</w:t>
        </w:r>
        <w:r w:rsidR="00A00AC6" w:rsidRPr="00DD4D9F">
          <w:rPr>
            <w:rStyle w:val="Hyperlink"/>
            <w:rFonts w:cs="Times New Roman"/>
            <w:sz w:val="20"/>
            <w:szCs w:val="20"/>
            <w:u w:val="none"/>
          </w:rPr>
          <w:t>:</w:t>
        </w:r>
        <w:r w:rsidR="00C64846" w:rsidRPr="00DD4D9F">
          <w:rPr>
            <w:rStyle w:val="Hyperlink"/>
            <w:rFonts w:cs="Times New Roman"/>
            <w:sz w:val="20"/>
            <w:szCs w:val="20"/>
            <w:u w:val="none"/>
          </w:rPr>
          <w:t xml:space="preserve"> </w:t>
        </w:r>
        <w:r w:rsidR="00A00AC6" w:rsidRPr="00DD4D9F">
          <w:rPr>
            <w:rStyle w:val="Hyperlink"/>
            <w:rFonts w:cs="Times New Roman"/>
            <w:sz w:val="20"/>
            <w:szCs w:val="20"/>
            <w:u w:val="none"/>
          </w:rPr>
          <w:t>e35-e66.</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30" w:history="1">
        <w:r w:rsidR="00A00AC6" w:rsidRPr="00DD4D9F">
          <w:rPr>
            <w:rStyle w:val="Hyperlink"/>
            <w:rFonts w:cs="Times New Roman"/>
            <w:sz w:val="20"/>
            <w:szCs w:val="20"/>
            <w:u w:val="none"/>
          </w:rPr>
          <w:t xml:space="preserve">Tang A, Yang E, </w:t>
        </w:r>
        <w:proofErr w:type="spellStart"/>
        <w:r w:rsidR="00A00AC6" w:rsidRPr="00DD4D9F">
          <w:rPr>
            <w:rStyle w:val="Hyperlink"/>
            <w:rFonts w:cs="Times New Roman"/>
            <w:sz w:val="20"/>
            <w:szCs w:val="20"/>
            <w:u w:val="none"/>
          </w:rPr>
          <w:t>Ebinger</w:t>
        </w:r>
        <w:proofErr w:type="spellEnd"/>
        <w:r w:rsidR="00A00AC6" w:rsidRPr="00DD4D9F">
          <w:rPr>
            <w:rStyle w:val="Hyperlink"/>
            <w:rFonts w:cs="Times New Roman"/>
            <w:sz w:val="20"/>
            <w:szCs w:val="20"/>
            <w:u w:val="none"/>
          </w:rPr>
          <w:t xml:space="preserve"> JE</w:t>
        </w:r>
        <w:r w:rsidR="003947A1" w:rsidRPr="00DD4D9F">
          <w:rPr>
            <w:rStyle w:val="Hyperlink"/>
            <w:rFonts w:cs="Times New Roman"/>
            <w:sz w:val="20"/>
            <w:szCs w:val="20"/>
            <w:u w:val="none"/>
          </w:rPr>
          <w:t xml:space="preserve"> (2024)</w:t>
        </w:r>
        <w:r w:rsidR="00A00AC6" w:rsidRPr="00DD4D9F">
          <w:rPr>
            <w:rStyle w:val="Hyperlink"/>
            <w:rFonts w:cs="Times New Roman"/>
            <w:sz w:val="20"/>
            <w:szCs w:val="20"/>
            <w:u w:val="none"/>
          </w:rPr>
          <w:t xml:space="preserve"> Non-Dipping Blood Pressure or Nocturnal Hypertension: Does One Matter More? Current Hypertension Reports</w:t>
        </w:r>
        <w:r w:rsidR="003947A1" w:rsidRPr="00DD4D9F">
          <w:rPr>
            <w:rStyle w:val="Hyperlink"/>
            <w:rFonts w:cs="Times New Roman"/>
            <w:sz w:val="20"/>
            <w:szCs w:val="20"/>
            <w:u w:val="none"/>
          </w:rPr>
          <w:t xml:space="preserve"> </w:t>
        </w:r>
        <w:r w:rsidR="00A00AC6" w:rsidRPr="00DD4D9F">
          <w:rPr>
            <w:rStyle w:val="Hyperlink"/>
            <w:rFonts w:cs="Times New Roman"/>
            <w:sz w:val="20"/>
            <w:szCs w:val="20"/>
            <w:u w:val="none"/>
          </w:rPr>
          <w:t>26:</w:t>
        </w:r>
        <w:r w:rsidR="003947A1" w:rsidRPr="00DD4D9F">
          <w:rPr>
            <w:rStyle w:val="Hyperlink"/>
            <w:rFonts w:cs="Times New Roman"/>
            <w:sz w:val="20"/>
            <w:szCs w:val="20"/>
            <w:u w:val="none"/>
          </w:rPr>
          <w:t xml:space="preserve"> </w:t>
        </w:r>
        <w:r w:rsidR="00A00AC6" w:rsidRPr="00DD4D9F">
          <w:rPr>
            <w:rStyle w:val="Hyperlink"/>
            <w:rFonts w:cs="Times New Roman"/>
            <w:sz w:val="20"/>
            <w:szCs w:val="20"/>
            <w:u w:val="none"/>
          </w:rPr>
          <w:t>21-30.</w:t>
        </w:r>
      </w:hyperlink>
    </w:p>
    <w:p w:rsidR="00A00AC6" w:rsidRPr="00DD4D9F" w:rsidRDefault="00CF0378" w:rsidP="00DD4D9F">
      <w:pPr>
        <w:pStyle w:val="ListParagraph"/>
        <w:numPr>
          <w:ilvl w:val="0"/>
          <w:numId w:val="13"/>
        </w:numPr>
        <w:mirrorIndents/>
        <w:jc w:val="both"/>
        <w:rPr>
          <w:rFonts w:cs="Times New Roman"/>
          <w:sz w:val="20"/>
          <w:szCs w:val="20"/>
        </w:rPr>
      </w:pPr>
      <w:hyperlink r:id="rId31" w:history="1">
        <w:proofErr w:type="spellStart"/>
        <w:r w:rsidR="00A00AC6" w:rsidRPr="00DD4D9F">
          <w:rPr>
            <w:rStyle w:val="Hyperlink"/>
            <w:rFonts w:cs="Times New Roman"/>
            <w:sz w:val="20"/>
            <w:szCs w:val="20"/>
            <w:u w:val="none"/>
          </w:rPr>
          <w:t>B</w:t>
        </w:r>
        <w:r w:rsidR="003947A1" w:rsidRPr="00DD4D9F">
          <w:rPr>
            <w:rStyle w:val="Hyperlink"/>
            <w:rFonts w:cs="Times New Roman"/>
            <w:sz w:val="20"/>
            <w:szCs w:val="20"/>
            <w:u w:val="none"/>
          </w:rPr>
          <w:t>ilo</w:t>
        </w:r>
        <w:proofErr w:type="spellEnd"/>
        <w:r w:rsidR="003947A1" w:rsidRPr="00DD4D9F">
          <w:rPr>
            <w:rStyle w:val="Hyperlink"/>
            <w:rFonts w:cs="Times New Roman"/>
            <w:sz w:val="20"/>
            <w:szCs w:val="20"/>
            <w:u w:val="none"/>
          </w:rPr>
          <w:t xml:space="preserve"> G, </w:t>
        </w:r>
        <w:proofErr w:type="spellStart"/>
        <w:r w:rsidR="003947A1" w:rsidRPr="00DD4D9F">
          <w:rPr>
            <w:rStyle w:val="Hyperlink"/>
            <w:rFonts w:cs="Times New Roman"/>
            <w:sz w:val="20"/>
            <w:szCs w:val="20"/>
            <w:u w:val="none"/>
          </w:rPr>
          <w:t>Giglio</w:t>
        </w:r>
        <w:proofErr w:type="spellEnd"/>
        <w:r w:rsidR="003947A1" w:rsidRPr="00DD4D9F">
          <w:rPr>
            <w:rStyle w:val="Hyperlink"/>
            <w:rFonts w:cs="Times New Roman"/>
            <w:sz w:val="20"/>
            <w:szCs w:val="20"/>
            <w:u w:val="none"/>
          </w:rPr>
          <w:t xml:space="preserve"> A, </w:t>
        </w:r>
        <w:proofErr w:type="spellStart"/>
        <w:r w:rsidR="003947A1" w:rsidRPr="00DD4D9F">
          <w:rPr>
            <w:rStyle w:val="Hyperlink"/>
            <w:rFonts w:cs="Times New Roman"/>
            <w:sz w:val="20"/>
            <w:szCs w:val="20"/>
            <w:u w:val="none"/>
          </w:rPr>
          <w:t>Styczkiewicz</w:t>
        </w:r>
        <w:proofErr w:type="spellEnd"/>
        <w:r w:rsidR="003947A1" w:rsidRPr="00DD4D9F">
          <w:rPr>
            <w:rStyle w:val="Hyperlink"/>
            <w:rFonts w:cs="Times New Roman"/>
            <w:sz w:val="20"/>
            <w:szCs w:val="20"/>
            <w:u w:val="none"/>
          </w:rPr>
          <w:t xml:space="preserve"> K (2007)</w:t>
        </w:r>
        <w:r w:rsidR="00A00AC6" w:rsidRPr="00DD4D9F">
          <w:rPr>
            <w:rStyle w:val="Hyperlink"/>
            <w:rFonts w:cs="Times New Roman"/>
            <w:sz w:val="20"/>
            <w:szCs w:val="20"/>
            <w:u w:val="none"/>
          </w:rPr>
          <w:t xml:space="preserve"> A new method for assessing 24-h blood pressure variability after excluding the contribution of nocturnal blood pres</w:t>
        </w:r>
        <w:r w:rsidR="00585142" w:rsidRPr="00DD4D9F">
          <w:rPr>
            <w:rStyle w:val="Hyperlink"/>
            <w:rFonts w:cs="Times New Roman"/>
            <w:sz w:val="20"/>
            <w:szCs w:val="20"/>
            <w:u w:val="none"/>
          </w:rPr>
          <w:t xml:space="preserve">sure fall. J </w:t>
        </w:r>
        <w:proofErr w:type="spellStart"/>
        <w:r w:rsidR="00585142" w:rsidRPr="00DD4D9F">
          <w:rPr>
            <w:rStyle w:val="Hyperlink"/>
            <w:rFonts w:cs="Times New Roman"/>
            <w:sz w:val="20"/>
            <w:szCs w:val="20"/>
            <w:u w:val="none"/>
          </w:rPr>
          <w:t>Hypertens</w:t>
        </w:r>
        <w:proofErr w:type="spellEnd"/>
        <w:r w:rsidR="00585142" w:rsidRPr="00DD4D9F">
          <w:rPr>
            <w:rStyle w:val="Hyperlink"/>
            <w:rFonts w:cs="Times New Roman"/>
            <w:sz w:val="20"/>
            <w:szCs w:val="20"/>
            <w:u w:val="none"/>
          </w:rPr>
          <w:t xml:space="preserve"> </w:t>
        </w:r>
        <w:r w:rsidR="00A00AC6" w:rsidRPr="00DD4D9F">
          <w:rPr>
            <w:rStyle w:val="Hyperlink"/>
            <w:rFonts w:cs="Times New Roman"/>
            <w:sz w:val="20"/>
            <w:szCs w:val="20"/>
            <w:u w:val="none"/>
          </w:rPr>
          <w:t>25:</w:t>
        </w:r>
        <w:r w:rsidR="00585142" w:rsidRPr="00DD4D9F">
          <w:rPr>
            <w:rStyle w:val="Hyperlink"/>
            <w:rFonts w:cs="Times New Roman"/>
            <w:sz w:val="20"/>
            <w:szCs w:val="20"/>
            <w:u w:val="none"/>
          </w:rPr>
          <w:t xml:space="preserve"> </w:t>
        </w:r>
        <w:r w:rsidR="00A00AC6" w:rsidRPr="00DD4D9F">
          <w:rPr>
            <w:rStyle w:val="Hyperlink"/>
            <w:rFonts w:cs="Times New Roman"/>
            <w:sz w:val="20"/>
            <w:szCs w:val="20"/>
            <w:u w:val="none"/>
          </w:rPr>
          <w:t>2058-</w:t>
        </w:r>
        <w:r w:rsidR="00585142" w:rsidRPr="00DD4D9F">
          <w:rPr>
            <w:rStyle w:val="Hyperlink"/>
            <w:rFonts w:cs="Times New Roman"/>
            <w:sz w:val="20"/>
            <w:szCs w:val="20"/>
            <w:u w:val="none"/>
          </w:rPr>
          <w:t>20</w:t>
        </w:r>
        <w:r w:rsidR="00A00AC6" w:rsidRPr="00DD4D9F">
          <w:rPr>
            <w:rStyle w:val="Hyperlink"/>
            <w:rFonts w:cs="Times New Roman"/>
            <w:sz w:val="20"/>
            <w:szCs w:val="20"/>
            <w:u w:val="none"/>
          </w:rPr>
          <w:t>66.</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32" w:history="1">
        <w:r w:rsidR="00A00AC6" w:rsidRPr="00DD4D9F">
          <w:rPr>
            <w:rStyle w:val="Hyperlink"/>
            <w:rFonts w:cs="Times New Roman"/>
            <w:sz w:val="20"/>
            <w:szCs w:val="20"/>
            <w:u w:val="none"/>
          </w:rPr>
          <w:t xml:space="preserve">Mena L, Pintos S, </w:t>
        </w:r>
        <w:proofErr w:type="spellStart"/>
        <w:r w:rsidR="00A00AC6" w:rsidRPr="00DD4D9F">
          <w:rPr>
            <w:rStyle w:val="Hyperlink"/>
            <w:rFonts w:cs="Times New Roman"/>
            <w:sz w:val="20"/>
            <w:szCs w:val="20"/>
            <w:u w:val="none"/>
          </w:rPr>
          <w:t>Queipo</w:t>
        </w:r>
        <w:proofErr w:type="spellEnd"/>
        <w:r w:rsidR="00A00AC6" w:rsidRPr="00DD4D9F">
          <w:rPr>
            <w:rStyle w:val="Hyperlink"/>
            <w:rFonts w:cs="Times New Roman"/>
            <w:sz w:val="20"/>
            <w:szCs w:val="20"/>
            <w:u w:val="none"/>
          </w:rPr>
          <w:t xml:space="preserve"> NV, </w:t>
        </w:r>
        <w:proofErr w:type="spellStart"/>
        <w:r w:rsidR="00A00AC6" w:rsidRPr="00DD4D9F">
          <w:rPr>
            <w:rStyle w:val="Hyperlink"/>
            <w:rFonts w:cs="Times New Roman"/>
            <w:sz w:val="20"/>
            <w:szCs w:val="20"/>
            <w:u w:val="none"/>
          </w:rPr>
          <w:t>Aizpúrua</w:t>
        </w:r>
        <w:proofErr w:type="spellEnd"/>
        <w:r w:rsidR="00A00AC6" w:rsidRPr="00DD4D9F">
          <w:rPr>
            <w:rStyle w:val="Hyperlink"/>
            <w:rFonts w:cs="Times New Roman"/>
            <w:sz w:val="20"/>
            <w:szCs w:val="20"/>
            <w:u w:val="none"/>
          </w:rPr>
          <w:t xml:space="preserve"> JA, </w:t>
        </w:r>
        <w:proofErr w:type="spellStart"/>
        <w:r w:rsidR="00A00AC6" w:rsidRPr="00DD4D9F">
          <w:rPr>
            <w:rStyle w:val="Hyperlink"/>
            <w:rFonts w:cs="Times New Roman"/>
            <w:sz w:val="20"/>
            <w:szCs w:val="20"/>
            <w:u w:val="none"/>
          </w:rPr>
          <w:t>Maestre</w:t>
        </w:r>
        <w:proofErr w:type="spellEnd"/>
        <w:r w:rsidR="00A00AC6" w:rsidRPr="00DD4D9F">
          <w:rPr>
            <w:rStyle w:val="Hyperlink"/>
            <w:rFonts w:cs="Times New Roman"/>
            <w:sz w:val="20"/>
            <w:szCs w:val="20"/>
            <w:u w:val="none"/>
          </w:rPr>
          <w:t xml:space="preserve"> G, </w:t>
        </w:r>
        <w:r w:rsidR="00585142" w:rsidRPr="00DD4D9F">
          <w:rPr>
            <w:rStyle w:val="Hyperlink"/>
            <w:rFonts w:cs="Times New Roman"/>
            <w:sz w:val="20"/>
            <w:szCs w:val="20"/>
            <w:u w:val="none"/>
          </w:rPr>
          <w:t>et al</w:t>
        </w:r>
        <w:r w:rsidR="00A00AC6" w:rsidRPr="00DD4D9F">
          <w:rPr>
            <w:rStyle w:val="Hyperlink"/>
            <w:rFonts w:cs="Times New Roman"/>
            <w:sz w:val="20"/>
            <w:szCs w:val="20"/>
            <w:u w:val="none"/>
          </w:rPr>
          <w:t>.</w:t>
        </w:r>
        <w:r w:rsidR="00585142" w:rsidRPr="00DD4D9F">
          <w:rPr>
            <w:rStyle w:val="Hyperlink"/>
            <w:rFonts w:cs="Times New Roman"/>
            <w:sz w:val="20"/>
            <w:szCs w:val="20"/>
            <w:u w:val="none"/>
          </w:rPr>
          <w:t xml:space="preserve"> (2005)</w:t>
        </w:r>
        <w:r w:rsidR="00A00AC6" w:rsidRPr="00DD4D9F">
          <w:rPr>
            <w:rStyle w:val="Hyperlink"/>
            <w:rFonts w:cs="Times New Roman"/>
            <w:sz w:val="20"/>
            <w:szCs w:val="20"/>
            <w:u w:val="none"/>
          </w:rPr>
          <w:t xml:space="preserve"> A reliable index for the prognostic significance of blood pressure variabil</w:t>
        </w:r>
        <w:r w:rsidR="00E50ECF" w:rsidRPr="00DD4D9F">
          <w:rPr>
            <w:rStyle w:val="Hyperlink"/>
            <w:rFonts w:cs="Times New Roman"/>
            <w:sz w:val="20"/>
            <w:szCs w:val="20"/>
            <w:u w:val="none"/>
          </w:rPr>
          <w:t xml:space="preserve">ity. J </w:t>
        </w:r>
        <w:proofErr w:type="spellStart"/>
        <w:r w:rsidR="00E50ECF" w:rsidRPr="00DD4D9F">
          <w:rPr>
            <w:rStyle w:val="Hyperlink"/>
            <w:rFonts w:cs="Times New Roman"/>
            <w:sz w:val="20"/>
            <w:szCs w:val="20"/>
            <w:u w:val="none"/>
          </w:rPr>
          <w:t>Hypertens</w:t>
        </w:r>
        <w:proofErr w:type="spellEnd"/>
        <w:r w:rsidR="00E50ECF" w:rsidRPr="00DD4D9F">
          <w:rPr>
            <w:rStyle w:val="Hyperlink"/>
            <w:rFonts w:cs="Times New Roman"/>
            <w:sz w:val="20"/>
            <w:szCs w:val="20"/>
            <w:u w:val="none"/>
          </w:rPr>
          <w:t xml:space="preserve"> 23</w:t>
        </w:r>
        <w:r w:rsidR="00A00AC6" w:rsidRPr="00DD4D9F">
          <w:rPr>
            <w:rStyle w:val="Hyperlink"/>
            <w:rFonts w:cs="Times New Roman"/>
            <w:sz w:val="20"/>
            <w:szCs w:val="20"/>
            <w:u w:val="none"/>
          </w:rPr>
          <w:t>:</w:t>
        </w:r>
        <w:r w:rsidR="00E50ECF" w:rsidRPr="00DD4D9F">
          <w:rPr>
            <w:rStyle w:val="Hyperlink"/>
            <w:rFonts w:cs="Times New Roman"/>
            <w:sz w:val="20"/>
            <w:szCs w:val="20"/>
            <w:u w:val="none"/>
          </w:rPr>
          <w:t xml:space="preserve"> </w:t>
        </w:r>
        <w:r w:rsidR="00A00AC6" w:rsidRPr="00DD4D9F">
          <w:rPr>
            <w:rStyle w:val="Hyperlink"/>
            <w:rFonts w:cs="Times New Roman"/>
            <w:sz w:val="20"/>
            <w:szCs w:val="20"/>
            <w:u w:val="none"/>
          </w:rPr>
          <w:t>505-</w:t>
        </w:r>
        <w:r w:rsidR="00E50ECF" w:rsidRPr="00DD4D9F">
          <w:rPr>
            <w:rStyle w:val="Hyperlink"/>
            <w:rFonts w:cs="Times New Roman"/>
            <w:sz w:val="20"/>
            <w:szCs w:val="20"/>
            <w:u w:val="none"/>
          </w:rPr>
          <w:t>5</w:t>
        </w:r>
        <w:r w:rsidR="00A00AC6" w:rsidRPr="00DD4D9F">
          <w:rPr>
            <w:rStyle w:val="Hyperlink"/>
            <w:rFonts w:cs="Times New Roman"/>
            <w:sz w:val="20"/>
            <w:szCs w:val="20"/>
            <w:u w:val="none"/>
          </w:rPr>
          <w:t>11.</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33" w:history="1">
        <w:r w:rsidR="00A00AC6" w:rsidRPr="00DD4D9F">
          <w:rPr>
            <w:rStyle w:val="Hyperlink"/>
            <w:rFonts w:cs="Times New Roman"/>
            <w:sz w:val="20"/>
            <w:szCs w:val="20"/>
            <w:u w:val="none"/>
          </w:rPr>
          <w:t xml:space="preserve">Mena LJ, Felix VG, </w:t>
        </w:r>
        <w:proofErr w:type="spellStart"/>
        <w:r w:rsidR="00A00AC6" w:rsidRPr="00DD4D9F">
          <w:rPr>
            <w:rStyle w:val="Hyperlink"/>
            <w:rFonts w:cs="Times New Roman"/>
            <w:sz w:val="20"/>
            <w:szCs w:val="20"/>
            <w:u w:val="none"/>
          </w:rPr>
          <w:t>Melgarejo</w:t>
        </w:r>
        <w:proofErr w:type="spellEnd"/>
        <w:r w:rsidR="00A00AC6" w:rsidRPr="00DD4D9F">
          <w:rPr>
            <w:rStyle w:val="Hyperlink"/>
            <w:rFonts w:cs="Times New Roman"/>
            <w:sz w:val="20"/>
            <w:szCs w:val="20"/>
            <w:u w:val="none"/>
          </w:rPr>
          <w:t xml:space="preserve"> JD, </w:t>
        </w:r>
        <w:proofErr w:type="spellStart"/>
        <w:r w:rsidR="00A00AC6" w:rsidRPr="00DD4D9F">
          <w:rPr>
            <w:rStyle w:val="Hyperlink"/>
            <w:rFonts w:cs="Times New Roman"/>
            <w:sz w:val="20"/>
            <w:szCs w:val="20"/>
            <w:u w:val="none"/>
          </w:rPr>
          <w:t>Maestre</w:t>
        </w:r>
        <w:proofErr w:type="spellEnd"/>
        <w:r w:rsidR="00A00AC6" w:rsidRPr="00DD4D9F">
          <w:rPr>
            <w:rStyle w:val="Hyperlink"/>
            <w:rFonts w:cs="Times New Roman"/>
            <w:sz w:val="20"/>
            <w:szCs w:val="20"/>
            <w:u w:val="none"/>
          </w:rPr>
          <w:t xml:space="preserve"> GE</w:t>
        </w:r>
        <w:r w:rsidR="00E50ECF" w:rsidRPr="00DD4D9F">
          <w:rPr>
            <w:rStyle w:val="Hyperlink"/>
            <w:rFonts w:cs="Times New Roman"/>
            <w:sz w:val="20"/>
            <w:szCs w:val="20"/>
            <w:u w:val="none"/>
          </w:rPr>
          <w:t xml:space="preserve"> (2017)</w:t>
        </w:r>
        <w:r w:rsidR="00A00AC6" w:rsidRPr="00DD4D9F">
          <w:rPr>
            <w:rStyle w:val="Hyperlink"/>
            <w:rFonts w:cs="Times New Roman"/>
            <w:sz w:val="20"/>
            <w:szCs w:val="20"/>
            <w:u w:val="none"/>
          </w:rPr>
          <w:t xml:space="preserve"> 24-Hour Blood Pressure Variability Assessed by Average Real Variability: A Systematic Review and Meta-Analysis. J A</w:t>
        </w:r>
        <w:r w:rsidR="00AE7036" w:rsidRPr="00DD4D9F">
          <w:rPr>
            <w:rStyle w:val="Hyperlink"/>
            <w:rFonts w:cs="Times New Roman"/>
            <w:sz w:val="20"/>
            <w:szCs w:val="20"/>
            <w:u w:val="none"/>
          </w:rPr>
          <w:t xml:space="preserve">m Heart </w:t>
        </w:r>
        <w:proofErr w:type="spellStart"/>
        <w:r w:rsidR="00AE7036" w:rsidRPr="00DD4D9F">
          <w:rPr>
            <w:rStyle w:val="Hyperlink"/>
            <w:rFonts w:cs="Times New Roman"/>
            <w:sz w:val="20"/>
            <w:szCs w:val="20"/>
            <w:u w:val="none"/>
          </w:rPr>
          <w:t>Assoc</w:t>
        </w:r>
        <w:proofErr w:type="spellEnd"/>
        <w:r w:rsidR="00AE7036" w:rsidRPr="00DD4D9F">
          <w:rPr>
            <w:rStyle w:val="Hyperlink"/>
            <w:rFonts w:cs="Times New Roman"/>
            <w:sz w:val="20"/>
            <w:szCs w:val="20"/>
            <w:u w:val="none"/>
          </w:rPr>
          <w:t xml:space="preserve"> 6</w:t>
        </w:r>
        <w:r w:rsidR="00BD45E4" w:rsidRPr="00DD4D9F">
          <w:rPr>
            <w:rStyle w:val="Hyperlink"/>
            <w:rFonts w:cs="Times New Roman"/>
            <w:sz w:val="20"/>
            <w:szCs w:val="20"/>
            <w:u w:val="none"/>
          </w:rPr>
          <w:t>: e006895</w:t>
        </w:r>
        <w:r w:rsidR="00AE7036" w:rsidRPr="00DD4D9F">
          <w:rPr>
            <w:rStyle w:val="Hyperlink"/>
            <w:rFonts w:cs="Times New Roman"/>
            <w:sz w:val="20"/>
            <w:szCs w:val="20"/>
            <w:u w:val="none"/>
          </w:rPr>
          <w:t>.</w:t>
        </w:r>
      </w:hyperlink>
    </w:p>
    <w:p w:rsidR="00A00AC6" w:rsidRPr="00DD4D9F" w:rsidRDefault="00CF0378" w:rsidP="00DD4D9F">
      <w:pPr>
        <w:pStyle w:val="ListParagraph"/>
        <w:numPr>
          <w:ilvl w:val="0"/>
          <w:numId w:val="13"/>
        </w:numPr>
        <w:mirrorIndents/>
        <w:jc w:val="both"/>
        <w:rPr>
          <w:rFonts w:cs="Times New Roman"/>
          <w:sz w:val="20"/>
          <w:szCs w:val="20"/>
        </w:rPr>
      </w:pPr>
      <w:hyperlink r:id="rId34" w:history="1">
        <w:proofErr w:type="spellStart"/>
        <w:r w:rsidR="00A00AC6" w:rsidRPr="00DD4D9F">
          <w:rPr>
            <w:rStyle w:val="Hyperlink"/>
            <w:rFonts w:cs="Times New Roman"/>
            <w:sz w:val="20"/>
            <w:szCs w:val="20"/>
            <w:u w:val="none"/>
          </w:rPr>
          <w:t>Schächinger</w:t>
        </w:r>
        <w:proofErr w:type="spellEnd"/>
        <w:r w:rsidR="00A00AC6" w:rsidRPr="00DD4D9F">
          <w:rPr>
            <w:rStyle w:val="Hyperlink"/>
            <w:rFonts w:cs="Times New Roman"/>
            <w:sz w:val="20"/>
            <w:szCs w:val="20"/>
            <w:u w:val="none"/>
          </w:rPr>
          <w:t xml:space="preserve"> H, </w:t>
        </w:r>
        <w:proofErr w:type="spellStart"/>
        <w:r w:rsidR="00A00AC6" w:rsidRPr="00DD4D9F">
          <w:rPr>
            <w:rStyle w:val="Hyperlink"/>
            <w:rFonts w:cs="Times New Roman"/>
            <w:sz w:val="20"/>
            <w:szCs w:val="20"/>
            <w:u w:val="none"/>
          </w:rPr>
          <w:t>Langewitz</w:t>
        </w:r>
        <w:proofErr w:type="spellEnd"/>
        <w:r w:rsidR="00A00AC6" w:rsidRPr="00DD4D9F">
          <w:rPr>
            <w:rStyle w:val="Hyperlink"/>
            <w:rFonts w:cs="Times New Roman"/>
            <w:sz w:val="20"/>
            <w:szCs w:val="20"/>
            <w:u w:val="none"/>
          </w:rPr>
          <w:t xml:space="preserve"> W, </w:t>
        </w:r>
        <w:proofErr w:type="spellStart"/>
        <w:r w:rsidR="00A00AC6" w:rsidRPr="00DD4D9F">
          <w:rPr>
            <w:rStyle w:val="Hyperlink"/>
            <w:rFonts w:cs="Times New Roman"/>
            <w:sz w:val="20"/>
            <w:szCs w:val="20"/>
            <w:u w:val="none"/>
          </w:rPr>
          <w:t>Schmieder</w:t>
        </w:r>
        <w:proofErr w:type="spellEnd"/>
        <w:r w:rsidR="00A00AC6" w:rsidRPr="00DD4D9F">
          <w:rPr>
            <w:rStyle w:val="Hyperlink"/>
            <w:rFonts w:cs="Times New Roman"/>
            <w:sz w:val="20"/>
            <w:szCs w:val="20"/>
            <w:u w:val="none"/>
          </w:rPr>
          <w:t xml:space="preserve"> RE, </w:t>
        </w:r>
        <w:proofErr w:type="spellStart"/>
        <w:r w:rsidR="00A00AC6" w:rsidRPr="00DD4D9F">
          <w:rPr>
            <w:rStyle w:val="Hyperlink"/>
            <w:rFonts w:cs="Times New Roman"/>
            <w:sz w:val="20"/>
            <w:szCs w:val="20"/>
            <w:u w:val="none"/>
          </w:rPr>
          <w:t>Rüddel</w:t>
        </w:r>
        <w:proofErr w:type="spellEnd"/>
        <w:r w:rsidR="00A00AC6" w:rsidRPr="00DD4D9F">
          <w:rPr>
            <w:rStyle w:val="Hyperlink"/>
            <w:rFonts w:cs="Times New Roman"/>
            <w:sz w:val="20"/>
            <w:szCs w:val="20"/>
            <w:u w:val="none"/>
          </w:rPr>
          <w:t xml:space="preserve"> H</w:t>
        </w:r>
        <w:r w:rsidR="007414EE" w:rsidRPr="00DD4D9F">
          <w:rPr>
            <w:rStyle w:val="Hyperlink"/>
            <w:rFonts w:cs="Times New Roman"/>
            <w:sz w:val="20"/>
            <w:szCs w:val="20"/>
            <w:u w:val="none"/>
          </w:rPr>
          <w:t xml:space="preserve"> (1989)</w:t>
        </w:r>
        <w:r w:rsidR="00A00AC6" w:rsidRPr="00DD4D9F">
          <w:rPr>
            <w:rStyle w:val="Hyperlink"/>
            <w:rFonts w:cs="Times New Roman"/>
            <w:sz w:val="20"/>
            <w:szCs w:val="20"/>
            <w:u w:val="none"/>
          </w:rPr>
          <w:t xml:space="preserve"> Comparison of parameters for assessing blood pressure and heart rate variability from non-invasive twenty-four-hour blood pressur</w:t>
        </w:r>
        <w:r w:rsidR="00BB7E82" w:rsidRPr="00DD4D9F">
          <w:rPr>
            <w:rStyle w:val="Hyperlink"/>
            <w:rFonts w:cs="Times New Roman"/>
            <w:sz w:val="20"/>
            <w:szCs w:val="20"/>
            <w:u w:val="none"/>
          </w:rPr>
          <w:t xml:space="preserve">e monitoring. J </w:t>
        </w:r>
        <w:proofErr w:type="spellStart"/>
        <w:r w:rsidR="00BB7E82" w:rsidRPr="00DD4D9F">
          <w:rPr>
            <w:rStyle w:val="Hyperlink"/>
            <w:rFonts w:cs="Times New Roman"/>
            <w:sz w:val="20"/>
            <w:szCs w:val="20"/>
            <w:u w:val="none"/>
          </w:rPr>
          <w:t>Hypertens</w:t>
        </w:r>
        <w:proofErr w:type="spellEnd"/>
        <w:r w:rsidR="00BB7E82" w:rsidRPr="00DD4D9F">
          <w:rPr>
            <w:rStyle w:val="Hyperlink"/>
            <w:rFonts w:cs="Times New Roman"/>
            <w:sz w:val="20"/>
            <w:szCs w:val="20"/>
            <w:u w:val="none"/>
          </w:rPr>
          <w:t xml:space="preserve"> </w:t>
        </w:r>
        <w:proofErr w:type="spellStart"/>
        <w:r w:rsidR="00BB7E82" w:rsidRPr="00DD4D9F">
          <w:rPr>
            <w:rStyle w:val="Hyperlink"/>
            <w:rFonts w:cs="Times New Roman"/>
            <w:sz w:val="20"/>
            <w:szCs w:val="20"/>
            <w:u w:val="none"/>
          </w:rPr>
          <w:t>Suppl</w:t>
        </w:r>
        <w:proofErr w:type="spellEnd"/>
        <w:r w:rsidR="00BB7E82" w:rsidRPr="00DD4D9F">
          <w:rPr>
            <w:rStyle w:val="Hyperlink"/>
            <w:rFonts w:cs="Times New Roman"/>
            <w:sz w:val="20"/>
            <w:szCs w:val="20"/>
            <w:u w:val="none"/>
          </w:rPr>
          <w:t xml:space="preserve"> </w:t>
        </w:r>
        <w:r w:rsidR="00A00AC6" w:rsidRPr="00DD4D9F">
          <w:rPr>
            <w:rStyle w:val="Hyperlink"/>
            <w:rFonts w:cs="Times New Roman"/>
            <w:sz w:val="20"/>
            <w:szCs w:val="20"/>
            <w:u w:val="none"/>
          </w:rPr>
          <w:t>7:</w:t>
        </w:r>
        <w:r w:rsidR="00BB7E82" w:rsidRPr="00DD4D9F">
          <w:rPr>
            <w:rStyle w:val="Hyperlink"/>
            <w:rFonts w:cs="Times New Roman"/>
            <w:sz w:val="20"/>
            <w:szCs w:val="20"/>
            <w:u w:val="none"/>
          </w:rPr>
          <w:t xml:space="preserve"> </w:t>
        </w:r>
        <w:r w:rsidR="00A00AC6" w:rsidRPr="00DD4D9F">
          <w:rPr>
            <w:rStyle w:val="Hyperlink"/>
            <w:rFonts w:cs="Times New Roman"/>
            <w:sz w:val="20"/>
            <w:szCs w:val="20"/>
            <w:u w:val="none"/>
          </w:rPr>
          <w:t>S81-</w:t>
        </w:r>
        <w:r w:rsidR="00BB7E82" w:rsidRPr="00DD4D9F">
          <w:rPr>
            <w:rStyle w:val="Hyperlink"/>
            <w:rFonts w:cs="Times New Roman"/>
            <w:sz w:val="20"/>
            <w:szCs w:val="20"/>
            <w:u w:val="none"/>
          </w:rPr>
          <w:t>S8</w:t>
        </w:r>
        <w:r w:rsidR="00A00AC6" w:rsidRPr="00DD4D9F">
          <w:rPr>
            <w:rStyle w:val="Hyperlink"/>
            <w:rFonts w:cs="Times New Roman"/>
            <w:sz w:val="20"/>
            <w:szCs w:val="20"/>
            <w:u w:val="none"/>
          </w:rPr>
          <w:t>4.</w:t>
        </w:r>
      </w:hyperlink>
    </w:p>
    <w:p w:rsidR="00A00AC6" w:rsidRPr="00DD4D9F" w:rsidRDefault="00CF0378" w:rsidP="00DD4D9F">
      <w:pPr>
        <w:pStyle w:val="ListParagraph"/>
        <w:numPr>
          <w:ilvl w:val="0"/>
          <w:numId w:val="13"/>
        </w:numPr>
        <w:mirrorIndents/>
        <w:jc w:val="both"/>
        <w:rPr>
          <w:rFonts w:cs="Times New Roman"/>
          <w:sz w:val="20"/>
          <w:szCs w:val="20"/>
        </w:rPr>
      </w:pPr>
      <w:hyperlink r:id="rId35" w:history="1">
        <w:proofErr w:type="spellStart"/>
        <w:r w:rsidR="00A00AC6" w:rsidRPr="00DD4D9F">
          <w:rPr>
            <w:rStyle w:val="Hyperlink"/>
            <w:rFonts w:cs="Times New Roman"/>
            <w:sz w:val="20"/>
            <w:szCs w:val="20"/>
            <w:u w:val="none"/>
          </w:rPr>
          <w:t>Lithovius</w:t>
        </w:r>
        <w:proofErr w:type="spellEnd"/>
        <w:r w:rsidR="00A00AC6" w:rsidRPr="00DD4D9F">
          <w:rPr>
            <w:rStyle w:val="Hyperlink"/>
            <w:rFonts w:cs="Times New Roman"/>
            <w:sz w:val="20"/>
            <w:szCs w:val="20"/>
            <w:u w:val="none"/>
          </w:rPr>
          <w:t xml:space="preserve"> R, </w:t>
        </w:r>
        <w:proofErr w:type="spellStart"/>
        <w:r w:rsidR="00A00AC6" w:rsidRPr="00DD4D9F">
          <w:rPr>
            <w:rStyle w:val="Hyperlink"/>
            <w:rFonts w:cs="Times New Roman"/>
            <w:sz w:val="20"/>
            <w:szCs w:val="20"/>
            <w:u w:val="none"/>
          </w:rPr>
          <w:t>Gordin</w:t>
        </w:r>
        <w:proofErr w:type="spellEnd"/>
        <w:r w:rsidR="00A00AC6" w:rsidRPr="00DD4D9F">
          <w:rPr>
            <w:rStyle w:val="Hyperlink"/>
            <w:rFonts w:cs="Times New Roman"/>
            <w:sz w:val="20"/>
            <w:szCs w:val="20"/>
            <w:u w:val="none"/>
          </w:rPr>
          <w:t xml:space="preserve"> D, </w:t>
        </w:r>
        <w:proofErr w:type="spellStart"/>
        <w:r w:rsidR="00A00AC6" w:rsidRPr="00DD4D9F">
          <w:rPr>
            <w:rStyle w:val="Hyperlink"/>
            <w:rFonts w:cs="Times New Roman"/>
            <w:sz w:val="20"/>
            <w:szCs w:val="20"/>
            <w:u w:val="none"/>
          </w:rPr>
          <w:t>Forsblom</w:t>
        </w:r>
        <w:proofErr w:type="spellEnd"/>
        <w:r w:rsidR="00A00AC6" w:rsidRPr="00DD4D9F">
          <w:rPr>
            <w:rStyle w:val="Hyperlink"/>
            <w:rFonts w:cs="Times New Roman"/>
            <w:sz w:val="20"/>
            <w:szCs w:val="20"/>
            <w:u w:val="none"/>
          </w:rPr>
          <w:t xml:space="preserve"> C, </w:t>
        </w:r>
        <w:proofErr w:type="spellStart"/>
        <w:r w:rsidR="00A00AC6" w:rsidRPr="00DD4D9F">
          <w:rPr>
            <w:rStyle w:val="Hyperlink"/>
            <w:rFonts w:cs="Times New Roman"/>
            <w:sz w:val="20"/>
            <w:szCs w:val="20"/>
            <w:u w:val="none"/>
          </w:rPr>
          <w:t>Saraheimo</w:t>
        </w:r>
        <w:proofErr w:type="spellEnd"/>
        <w:r w:rsidR="00A00AC6" w:rsidRPr="00DD4D9F">
          <w:rPr>
            <w:rStyle w:val="Hyperlink"/>
            <w:rFonts w:cs="Times New Roman"/>
            <w:sz w:val="20"/>
            <w:szCs w:val="20"/>
            <w:u w:val="none"/>
          </w:rPr>
          <w:t xml:space="preserve"> M, </w:t>
        </w:r>
        <w:proofErr w:type="spellStart"/>
        <w:r w:rsidR="00A00AC6" w:rsidRPr="00DD4D9F">
          <w:rPr>
            <w:rStyle w:val="Hyperlink"/>
            <w:rFonts w:cs="Times New Roman"/>
            <w:sz w:val="20"/>
            <w:szCs w:val="20"/>
            <w:u w:val="none"/>
          </w:rPr>
          <w:t>Harjutsalo</w:t>
        </w:r>
        <w:proofErr w:type="spellEnd"/>
        <w:r w:rsidR="00A00AC6" w:rsidRPr="00DD4D9F">
          <w:rPr>
            <w:rStyle w:val="Hyperlink"/>
            <w:rFonts w:cs="Times New Roman"/>
            <w:sz w:val="20"/>
            <w:szCs w:val="20"/>
            <w:u w:val="none"/>
          </w:rPr>
          <w:t xml:space="preserve"> V, </w:t>
        </w:r>
        <w:r w:rsidR="00152257" w:rsidRPr="00DD4D9F">
          <w:rPr>
            <w:rStyle w:val="Hyperlink"/>
            <w:rFonts w:cs="Times New Roman"/>
            <w:sz w:val="20"/>
            <w:szCs w:val="20"/>
            <w:u w:val="none"/>
          </w:rPr>
          <w:t>et al</w:t>
        </w:r>
        <w:r w:rsidR="00A00AC6" w:rsidRPr="00DD4D9F">
          <w:rPr>
            <w:rStyle w:val="Hyperlink"/>
            <w:rFonts w:cs="Times New Roman"/>
            <w:sz w:val="20"/>
            <w:szCs w:val="20"/>
            <w:u w:val="none"/>
          </w:rPr>
          <w:t>.</w:t>
        </w:r>
        <w:r w:rsidR="00152257" w:rsidRPr="00DD4D9F">
          <w:rPr>
            <w:rStyle w:val="Hyperlink"/>
            <w:rFonts w:cs="Times New Roman"/>
            <w:sz w:val="20"/>
            <w:szCs w:val="20"/>
            <w:u w:val="none"/>
          </w:rPr>
          <w:t xml:space="preserve"> (2018)</w:t>
        </w:r>
        <w:r w:rsidR="00A00AC6" w:rsidRPr="00DD4D9F">
          <w:rPr>
            <w:rStyle w:val="Hyperlink"/>
            <w:rFonts w:cs="Times New Roman"/>
            <w:sz w:val="20"/>
            <w:szCs w:val="20"/>
            <w:u w:val="none"/>
          </w:rPr>
          <w:t xml:space="preserve"> Ambulatory blood pressure and arterial stiffness in individuals with t</w:t>
        </w:r>
        <w:r w:rsidR="00F670BD" w:rsidRPr="00DD4D9F">
          <w:rPr>
            <w:rStyle w:val="Hyperlink"/>
            <w:rFonts w:cs="Times New Roman"/>
            <w:sz w:val="20"/>
            <w:szCs w:val="20"/>
            <w:u w:val="none"/>
          </w:rPr>
          <w:t xml:space="preserve">ype 1 diabetes. </w:t>
        </w:r>
        <w:proofErr w:type="spellStart"/>
        <w:r w:rsidR="00F670BD" w:rsidRPr="00DD4D9F">
          <w:rPr>
            <w:rStyle w:val="Hyperlink"/>
            <w:rFonts w:cs="Times New Roman"/>
            <w:sz w:val="20"/>
            <w:szCs w:val="20"/>
            <w:u w:val="none"/>
          </w:rPr>
          <w:t>Diabetologia</w:t>
        </w:r>
        <w:proofErr w:type="spellEnd"/>
        <w:r w:rsidR="00F670BD" w:rsidRPr="00DD4D9F">
          <w:rPr>
            <w:rStyle w:val="Hyperlink"/>
            <w:rFonts w:cs="Times New Roman"/>
            <w:sz w:val="20"/>
            <w:szCs w:val="20"/>
            <w:u w:val="none"/>
          </w:rPr>
          <w:t xml:space="preserve"> 61</w:t>
        </w:r>
        <w:r w:rsidR="00A00AC6" w:rsidRPr="00DD4D9F">
          <w:rPr>
            <w:rStyle w:val="Hyperlink"/>
            <w:rFonts w:cs="Times New Roman"/>
            <w:sz w:val="20"/>
            <w:szCs w:val="20"/>
            <w:u w:val="none"/>
          </w:rPr>
          <w:t>:</w:t>
        </w:r>
        <w:r w:rsidR="00F670BD" w:rsidRPr="00DD4D9F">
          <w:rPr>
            <w:rStyle w:val="Hyperlink"/>
            <w:rFonts w:cs="Times New Roman"/>
            <w:sz w:val="20"/>
            <w:szCs w:val="20"/>
            <w:u w:val="none"/>
          </w:rPr>
          <w:t xml:space="preserve"> </w:t>
        </w:r>
        <w:r w:rsidR="00A00AC6" w:rsidRPr="00DD4D9F">
          <w:rPr>
            <w:rStyle w:val="Hyperlink"/>
            <w:rFonts w:cs="Times New Roman"/>
            <w:sz w:val="20"/>
            <w:szCs w:val="20"/>
            <w:u w:val="none"/>
          </w:rPr>
          <w:t>1935-1945.</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36" w:history="1">
        <w:proofErr w:type="spellStart"/>
        <w:r w:rsidR="00A00AC6" w:rsidRPr="00DD4D9F">
          <w:rPr>
            <w:rStyle w:val="Hyperlink"/>
            <w:rFonts w:cs="Times New Roman"/>
            <w:sz w:val="20"/>
            <w:szCs w:val="20"/>
            <w:u w:val="none"/>
          </w:rPr>
          <w:t>Sarafid</w:t>
        </w:r>
        <w:r w:rsidR="00026A67" w:rsidRPr="00DD4D9F">
          <w:rPr>
            <w:rStyle w:val="Hyperlink"/>
            <w:rFonts w:cs="Times New Roman"/>
            <w:sz w:val="20"/>
            <w:szCs w:val="20"/>
            <w:u w:val="none"/>
          </w:rPr>
          <w:t>is</w:t>
        </w:r>
        <w:proofErr w:type="spellEnd"/>
        <w:r w:rsidR="00026A67" w:rsidRPr="00DD4D9F">
          <w:rPr>
            <w:rStyle w:val="Hyperlink"/>
            <w:rFonts w:cs="Times New Roman"/>
            <w:sz w:val="20"/>
            <w:szCs w:val="20"/>
            <w:u w:val="none"/>
          </w:rPr>
          <w:t xml:space="preserve"> PA, </w:t>
        </w:r>
        <w:proofErr w:type="spellStart"/>
        <w:r w:rsidR="00026A67" w:rsidRPr="00DD4D9F">
          <w:rPr>
            <w:rStyle w:val="Hyperlink"/>
            <w:rFonts w:cs="Times New Roman"/>
            <w:sz w:val="20"/>
            <w:szCs w:val="20"/>
            <w:u w:val="none"/>
          </w:rPr>
          <w:t>Loutradis</w:t>
        </w:r>
        <w:proofErr w:type="spellEnd"/>
        <w:r w:rsidR="00026A67" w:rsidRPr="00DD4D9F">
          <w:rPr>
            <w:rStyle w:val="Hyperlink"/>
            <w:rFonts w:cs="Times New Roman"/>
            <w:sz w:val="20"/>
            <w:szCs w:val="20"/>
            <w:u w:val="none"/>
          </w:rPr>
          <w:t xml:space="preserve"> C, </w:t>
        </w:r>
        <w:proofErr w:type="spellStart"/>
        <w:r w:rsidR="00026A67" w:rsidRPr="00DD4D9F">
          <w:rPr>
            <w:rStyle w:val="Hyperlink"/>
            <w:rFonts w:cs="Times New Roman"/>
            <w:sz w:val="20"/>
            <w:szCs w:val="20"/>
            <w:u w:val="none"/>
          </w:rPr>
          <w:t>Karpetas</w:t>
        </w:r>
        <w:proofErr w:type="spellEnd"/>
        <w:r w:rsidR="00026A67" w:rsidRPr="00DD4D9F">
          <w:rPr>
            <w:rStyle w:val="Hyperlink"/>
            <w:rFonts w:cs="Times New Roman"/>
            <w:sz w:val="20"/>
            <w:szCs w:val="20"/>
            <w:u w:val="none"/>
          </w:rPr>
          <w:t xml:space="preserve"> A (2017)</w:t>
        </w:r>
        <w:r w:rsidR="00A00AC6" w:rsidRPr="00DD4D9F">
          <w:rPr>
            <w:rStyle w:val="Hyperlink"/>
            <w:rFonts w:cs="Times New Roman"/>
            <w:sz w:val="20"/>
            <w:szCs w:val="20"/>
            <w:u w:val="none"/>
          </w:rPr>
          <w:t xml:space="preserve"> Ambulatory Pulse Wave Velocity Is a Stronger Predictor of Cardiovascular Events and All-Cause Mortality Than Office and Ambulatory Blood Pressure in Hemodialy</w:t>
        </w:r>
        <w:r w:rsidR="000F01E2" w:rsidRPr="00DD4D9F">
          <w:rPr>
            <w:rStyle w:val="Hyperlink"/>
            <w:rFonts w:cs="Times New Roman"/>
            <w:sz w:val="20"/>
            <w:szCs w:val="20"/>
            <w:u w:val="none"/>
          </w:rPr>
          <w:t xml:space="preserve">sis Patients. Hypertension </w:t>
        </w:r>
        <w:r w:rsidR="00A00AC6" w:rsidRPr="00DD4D9F">
          <w:rPr>
            <w:rStyle w:val="Hyperlink"/>
            <w:rFonts w:cs="Times New Roman"/>
            <w:sz w:val="20"/>
            <w:szCs w:val="20"/>
            <w:u w:val="none"/>
          </w:rPr>
          <w:t>70:</w:t>
        </w:r>
        <w:r w:rsidR="000F01E2" w:rsidRPr="00DD4D9F">
          <w:rPr>
            <w:rStyle w:val="Hyperlink"/>
            <w:rFonts w:cs="Times New Roman"/>
            <w:sz w:val="20"/>
            <w:szCs w:val="20"/>
            <w:u w:val="none"/>
          </w:rPr>
          <w:t xml:space="preserve"> </w:t>
        </w:r>
        <w:r w:rsidR="00A00AC6" w:rsidRPr="00DD4D9F">
          <w:rPr>
            <w:rStyle w:val="Hyperlink"/>
            <w:rFonts w:cs="Times New Roman"/>
            <w:sz w:val="20"/>
            <w:szCs w:val="20"/>
            <w:u w:val="none"/>
          </w:rPr>
          <w:t>148-157.</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37" w:history="1">
        <w:proofErr w:type="spellStart"/>
        <w:r w:rsidR="00A00AC6" w:rsidRPr="00DD4D9F">
          <w:rPr>
            <w:rStyle w:val="Hyperlink"/>
            <w:rFonts w:cs="Times New Roman"/>
            <w:sz w:val="20"/>
            <w:szCs w:val="20"/>
            <w:u w:val="none"/>
          </w:rPr>
          <w:t>Desbiens</w:t>
        </w:r>
        <w:proofErr w:type="spellEnd"/>
        <w:r w:rsidR="00A00AC6" w:rsidRPr="00DD4D9F">
          <w:rPr>
            <w:rStyle w:val="Hyperlink"/>
            <w:rFonts w:cs="Times New Roman"/>
            <w:sz w:val="20"/>
            <w:szCs w:val="20"/>
            <w:u w:val="none"/>
          </w:rPr>
          <w:t xml:space="preserve"> LC, Fortier C, Nadeau‐</w:t>
        </w:r>
        <w:proofErr w:type="spellStart"/>
        <w:r w:rsidR="00A00AC6" w:rsidRPr="00DD4D9F">
          <w:rPr>
            <w:rStyle w:val="Hyperlink"/>
            <w:rFonts w:cs="Times New Roman"/>
            <w:sz w:val="20"/>
            <w:szCs w:val="20"/>
            <w:u w:val="none"/>
          </w:rPr>
          <w:t>Fredette</w:t>
        </w:r>
        <w:proofErr w:type="spellEnd"/>
        <w:r w:rsidR="00A00AC6" w:rsidRPr="00DD4D9F">
          <w:rPr>
            <w:rStyle w:val="Hyperlink"/>
            <w:rFonts w:cs="Times New Roman"/>
            <w:sz w:val="20"/>
            <w:szCs w:val="20"/>
            <w:u w:val="none"/>
          </w:rPr>
          <w:t xml:space="preserve"> AC</w:t>
        </w:r>
        <w:r w:rsidR="00CB0A0F" w:rsidRPr="00DD4D9F">
          <w:rPr>
            <w:rStyle w:val="Hyperlink"/>
            <w:rFonts w:cs="Times New Roman"/>
            <w:sz w:val="20"/>
            <w:szCs w:val="20"/>
            <w:u w:val="none"/>
          </w:rPr>
          <w:t xml:space="preserve"> (2022)</w:t>
        </w:r>
        <w:r w:rsidR="00A00AC6" w:rsidRPr="00DD4D9F">
          <w:rPr>
            <w:rStyle w:val="Hyperlink"/>
            <w:rFonts w:cs="Times New Roman"/>
            <w:sz w:val="20"/>
            <w:szCs w:val="20"/>
            <w:u w:val="none"/>
          </w:rPr>
          <w:t xml:space="preserve"> Prediction of Cardiovascular Events by Pulse Waveform Parameters: Analysis of </w:t>
        </w:r>
        <w:proofErr w:type="spellStart"/>
        <w:r w:rsidR="00A00AC6" w:rsidRPr="00DD4D9F">
          <w:rPr>
            <w:rStyle w:val="Hyperlink"/>
            <w:rFonts w:cs="Times New Roman"/>
            <w:sz w:val="20"/>
            <w:szCs w:val="20"/>
            <w:u w:val="none"/>
          </w:rPr>
          <w:t>CARTaGENE</w:t>
        </w:r>
        <w:proofErr w:type="spellEnd"/>
        <w:r w:rsidR="00A00AC6" w:rsidRPr="00DD4D9F">
          <w:rPr>
            <w:rStyle w:val="Hyperlink"/>
            <w:rFonts w:cs="Times New Roman"/>
            <w:sz w:val="20"/>
            <w:szCs w:val="20"/>
            <w:u w:val="none"/>
          </w:rPr>
          <w:t xml:space="preserve">. Journal of the American </w:t>
        </w:r>
        <w:r w:rsidR="00E62CF8" w:rsidRPr="00DD4D9F">
          <w:rPr>
            <w:rStyle w:val="Hyperlink"/>
            <w:rFonts w:cs="Times New Roman"/>
            <w:sz w:val="20"/>
            <w:szCs w:val="20"/>
            <w:u w:val="none"/>
          </w:rPr>
          <w:t>Heart Association 11</w:t>
        </w:r>
        <w:r w:rsidR="00A00AC6" w:rsidRPr="00DD4D9F">
          <w:rPr>
            <w:rStyle w:val="Hyperlink"/>
            <w:rFonts w:cs="Times New Roman"/>
            <w:sz w:val="20"/>
            <w:szCs w:val="20"/>
            <w:u w:val="none"/>
          </w:rPr>
          <w:t>:</w:t>
        </w:r>
        <w:r w:rsidR="00E62CF8" w:rsidRPr="00DD4D9F">
          <w:rPr>
            <w:rStyle w:val="Hyperlink"/>
            <w:rFonts w:cs="Times New Roman"/>
            <w:sz w:val="20"/>
            <w:szCs w:val="20"/>
            <w:u w:val="none"/>
          </w:rPr>
          <w:t xml:space="preserve"> </w:t>
        </w:r>
        <w:r w:rsidR="00A00AC6" w:rsidRPr="00DD4D9F">
          <w:rPr>
            <w:rStyle w:val="Hyperlink"/>
            <w:rFonts w:cs="Times New Roman"/>
            <w:sz w:val="20"/>
            <w:szCs w:val="20"/>
            <w:u w:val="none"/>
          </w:rPr>
          <w:t>e026603.</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38" w:history="1">
        <w:proofErr w:type="spellStart"/>
        <w:r w:rsidR="00A00AC6" w:rsidRPr="00DD4D9F">
          <w:rPr>
            <w:rStyle w:val="Hyperlink"/>
            <w:rFonts w:cs="Times New Roman"/>
            <w:sz w:val="20"/>
            <w:szCs w:val="20"/>
            <w:u w:val="none"/>
          </w:rPr>
          <w:t>Killerby</w:t>
        </w:r>
        <w:proofErr w:type="spellEnd"/>
        <w:r w:rsidR="00A00AC6" w:rsidRPr="00DD4D9F">
          <w:rPr>
            <w:rStyle w:val="Hyperlink"/>
            <w:rFonts w:cs="Times New Roman"/>
            <w:sz w:val="20"/>
            <w:szCs w:val="20"/>
            <w:u w:val="none"/>
          </w:rPr>
          <w:t xml:space="preserve"> ME, Link-</w:t>
        </w:r>
        <w:proofErr w:type="spellStart"/>
        <w:r w:rsidR="00A00AC6" w:rsidRPr="00DD4D9F">
          <w:rPr>
            <w:rStyle w:val="Hyperlink"/>
            <w:rFonts w:cs="Times New Roman"/>
            <w:sz w:val="20"/>
            <w:szCs w:val="20"/>
            <w:u w:val="none"/>
          </w:rPr>
          <w:t>Gelles</w:t>
        </w:r>
        <w:proofErr w:type="spellEnd"/>
        <w:r w:rsidR="00A00AC6" w:rsidRPr="00DD4D9F">
          <w:rPr>
            <w:rStyle w:val="Hyperlink"/>
            <w:rFonts w:cs="Times New Roman"/>
            <w:sz w:val="20"/>
            <w:szCs w:val="20"/>
            <w:u w:val="none"/>
          </w:rPr>
          <w:t xml:space="preserve"> R, Haight SC</w:t>
        </w:r>
        <w:r w:rsidR="00E81C80" w:rsidRPr="00DD4D9F">
          <w:rPr>
            <w:rStyle w:val="Hyperlink"/>
            <w:rFonts w:cs="Times New Roman"/>
            <w:sz w:val="20"/>
            <w:szCs w:val="20"/>
            <w:u w:val="none"/>
          </w:rPr>
          <w:t xml:space="preserve"> (2020)</w:t>
        </w:r>
        <w:r w:rsidR="00A00AC6" w:rsidRPr="00DD4D9F">
          <w:rPr>
            <w:rStyle w:val="Hyperlink"/>
            <w:rFonts w:cs="Times New Roman"/>
            <w:sz w:val="20"/>
            <w:szCs w:val="20"/>
            <w:u w:val="none"/>
          </w:rPr>
          <w:t xml:space="preserve"> Characteristics Associated with Hospitalization Among Patients with COVID-19 - Metropolitan Atlanta, Georgia, March-April 2020. MMWR </w:t>
        </w:r>
        <w:proofErr w:type="spellStart"/>
        <w:r w:rsidR="00A00AC6" w:rsidRPr="00DD4D9F">
          <w:rPr>
            <w:rStyle w:val="Hyperlink"/>
            <w:rFonts w:cs="Times New Roman"/>
            <w:sz w:val="20"/>
            <w:szCs w:val="20"/>
            <w:u w:val="none"/>
          </w:rPr>
          <w:t>Morb</w:t>
        </w:r>
        <w:proofErr w:type="spellEnd"/>
        <w:r w:rsidR="00A00AC6" w:rsidRPr="00DD4D9F">
          <w:rPr>
            <w:rStyle w:val="Hyperlink"/>
            <w:rFonts w:cs="Times New Roman"/>
            <w:sz w:val="20"/>
            <w:szCs w:val="20"/>
            <w:u w:val="none"/>
          </w:rPr>
          <w:t xml:space="preserve"> Mo</w:t>
        </w:r>
        <w:r w:rsidR="00C81B77" w:rsidRPr="00DD4D9F">
          <w:rPr>
            <w:rStyle w:val="Hyperlink"/>
            <w:rFonts w:cs="Times New Roman"/>
            <w:sz w:val="20"/>
            <w:szCs w:val="20"/>
            <w:u w:val="none"/>
          </w:rPr>
          <w:t xml:space="preserve">rtal </w:t>
        </w:r>
        <w:proofErr w:type="spellStart"/>
        <w:r w:rsidR="00C81B77" w:rsidRPr="00DD4D9F">
          <w:rPr>
            <w:rStyle w:val="Hyperlink"/>
            <w:rFonts w:cs="Times New Roman"/>
            <w:sz w:val="20"/>
            <w:szCs w:val="20"/>
            <w:u w:val="none"/>
          </w:rPr>
          <w:t>Wkly</w:t>
        </w:r>
        <w:proofErr w:type="spellEnd"/>
        <w:r w:rsidR="00C81B77" w:rsidRPr="00DD4D9F">
          <w:rPr>
            <w:rStyle w:val="Hyperlink"/>
            <w:rFonts w:cs="Times New Roman"/>
            <w:sz w:val="20"/>
            <w:szCs w:val="20"/>
            <w:u w:val="none"/>
          </w:rPr>
          <w:t xml:space="preserve"> Rep 69</w:t>
        </w:r>
        <w:r w:rsidR="00A00AC6" w:rsidRPr="00DD4D9F">
          <w:rPr>
            <w:rStyle w:val="Hyperlink"/>
            <w:rFonts w:cs="Times New Roman"/>
            <w:sz w:val="20"/>
            <w:szCs w:val="20"/>
            <w:u w:val="none"/>
          </w:rPr>
          <w:t>:</w:t>
        </w:r>
        <w:r w:rsidR="00C81B77" w:rsidRPr="00DD4D9F">
          <w:rPr>
            <w:rStyle w:val="Hyperlink"/>
            <w:rFonts w:cs="Times New Roman"/>
            <w:sz w:val="20"/>
            <w:szCs w:val="20"/>
            <w:u w:val="none"/>
          </w:rPr>
          <w:t xml:space="preserve"> </w:t>
        </w:r>
        <w:r w:rsidR="00A00AC6" w:rsidRPr="00DD4D9F">
          <w:rPr>
            <w:rStyle w:val="Hyperlink"/>
            <w:rFonts w:cs="Times New Roman"/>
            <w:sz w:val="20"/>
            <w:szCs w:val="20"/>
            <w:u w:val="none"/>
          </w:rPr>
          <w:t>790-794.</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39" w:history="1">
        <w:proofErr w:type="spellStart"/>
        <w:r w:rsidR="00E465D9" w:rsidRPr="00DD4D9F">
          <w:rPr>
            <w:rStyle w:val="Hyperlink"/>
            <w:rFonts w:cs="Times New Roman"/>
            <w:sz w:val="20"/>
            <w:szCs w:val="20"/>
            <w:u w:val="none"/>
          </w:rPr>
          <w:t>B</w:t>
        </w:r>
        <w:r w:rsidR="0026127C" w:rsidRPr="00DD4D9F">
          <w:rPr>
            <w:rStyle w:val="Hyperlink"/>
            <w:rFonts w:cs="Times New Roman"/>
            <w:sz w:val="20"/>
            <w:szCs w:val="20"/>
            <w:u w:val="none"/>
          </w:rPr>
          <w:t>irkmeyer</w:t>
        </w:r>
        <w:proofErr w:type="spellEnd"/>
        <w:r w:rsidR="0026127C" w:rsidRPr="00DD4D9F">
          <w:rPr>
            <w:rStyle w:val="Hyperlink"/>
            <w:rFonts w:cs="Times New Roman"/>
            <w:sz w:val="20"/>
            <w:szCs w:val="20"/>
            <w:u w:val="none"/>
          </w:rPr>
          <w:t xml:space="preserve"> JD, </w:t>
        </w:r>
        <w:proofErr w:type="spellStart"/>
        <w:r w:rsidR="0026127C" w:rsidRPr="00DD4D9F">
          <w:rPr>
            <w:rStyle w:val="Hyperlink"/>
            <w:rFonts w:cs="Times New Roman"/>
            <w:sz w:val="20"/>
            <w:szCs w:val="20"/>
            <w:u w:val="none"/>
          </w:rPr>
          <w:t>Barnato</w:t>
        </w:r>
        <w:proofErr w:type="spellEnd"/>
        <w:r w:rsidR="0026127C" w:rsidRPr="00DD4D9F">
          <w:rPr>
            <w:rStyle w:val="Hyperlink"/>
            <w:rFonts w:cs="Times New Roman"/>
            <w:sz w:val="20"/>
            <w:szCs w:val="20"/>
            <w:u w:val="none"/>
          </w:rPr>
          <w:t xml:space="preserve"> A, </w:t>
        </w:r>
        <w:proofErr w:type="spellStart"/>
        <w:r w:rsidR="0026127C" w:rsidRPr="00DD4D9F">
          <w:rPr>
            <w:rStyle w:val="Hyperlink"/>
            <w:rFonts w:cs="Times New Roman"/>
            <w:sz w:val="20"/>
            <w:szCs w:val="20"/>
            <w:u w:val="none"/>
          </w:rPr>
          <w:t>Birkmeyer</w:t>
        </w:r>
        <w:proofErr w:type="spellEnd"/>
        <w:r w:rsidR="0026127C" w:rsidRPr="00DD4D9F">
          <w:rPr>
            <w:rStyle w:val="Hyperlink"/>
            <w:rFonts w:cs="Times New Roman"/>
            <w:sz w:val="20"/>
            <w:szCs w:val="20"/>
            <w:u w:val="none"/>
          </w:rPr>
          <w:t xml:space="preserve"> N, </w:t>
        </w:r>
        <w:proofErr w:type="spellStart"/>
        <w:r w:rsidR="0026127C" w:rsidRPr="00DD4D9F">
          <w:rPr>
            <w:rStyle w:val="Hyperlink"/>
            <w:rFonts w:cs="Times New Roman"/>
            <w:sz w:val="20"/>
            <w:szCs w:val="20"/>
            <w:u w:val="none"/>
          </w:rPr>
          <w:t>Bessler</w:t>
        </w:r>
        <w:proofErr w:type="spellEnd"/>
        <w:r w:rsidR="0026127C" w:rsidRPr="00DD4D9F">
          <w:rPr>
            <w:rStyle w:val="Hyperlink"/>
            <w:rFonts w:cs="Times New Roman"/>
            <w:sz w:val="20"/>
            <w:szCs w:val="20"/>
            <w:u w:val="none"/>
          </w:rPr>
          <w:t xml:space="preserve"> R</w:t>
        </w:r>
        <w:r w:rsidR="00E465D9" w:rsidRPr="00DD4D9F">
          <w:rPr>
            <w:rStyle w:val="Hyperlink"/>
            <w:rFonts w:cs="Times New Roman"/>
            <w:sz w:val="20"/>
            <w:szCs w:val="20"/>
            <w:u w:val="none"/>
          </w:rPr>
          <w:t xml:space="preserve">, </w:t>
        </w:r>
        <w:proofErr w:type="spellStart"/>
        <w:r w:rsidR="00E465D9" w:rsidRPr="00DD4D9F">
          <w:rPr>
            <w:rStyle w:val="Hyperlink"/>
            <w:rFonts w:cs="Times New Roman"/>
            <w:sz w:val="20"/>
            <w:szCs w:val="20"/>
            <w:u w:val="none"/>
          </w:rPr>
          <w:t>Skinne</w:t>
        </w:r>
        <w:proofErr w:type="spellEnd"/>
        <w:r w:rsidR="0026127C" w:rsidRPr="00DD4D9F">
          <w:rPr>
            <w:rStyle w:val="Hyperlink"/>
            <w:rFonts w:cs="Times New Roman"/>
            <w:sz w:val="20"/>
            <w:szCs w:val="20"/>
            <w:u w:val="none"/>
          </w:rPr>
          <w:t xml:space="preserve"> J</w:t>
        </w:r>
        <w:r w:rsidR="00E465D9" w:rsidRPr="00DD4D9F">
          <w:rPr>
            <w:rStyle w:val="Hyperlink"/>
            <w:rFonts w:cs="Times New Roman"/>
            <w:sz w:val="20"/>
            <w:szCs w:val="20"/>
            <w:u w:val="none"/>
          </w:rPr>
          <w:t xml:space="preserve"> (2020) </w:t>
        </w:r>
        <w:r w:rsidR="00A00AC6" w:rsidRPr="00DD4D9F">
          <w:rPr>
            <w:rStyle w:val="Hyperlink"/>
            <w:rFonts w:cs="Times New Roman"/>
            <w:sz w:val="20"/>
            <w:szCs w:val="20"/>
            <w:u w:val="none"/>
          </w:rPr>
          <w:t>The Impact Of The COVID-19 Pandemic On Hospital Admissions In The Unit</w:t>
        </w:r>
        <w:r w:rsidR="00E512D6" w:rsidRPr="00DD4D9F">
          <w:rPr>
            <w:rStyle w:val="Hyperlink"/>
            <w:rFonts w:cs="Times New Roman"/>
            <w:sz w:val="20"/>
            <w:szCs w:val="20"/>
            <w:u w:val="none"/>
          </w:rPr>
          <w:t xml:space="preserve">ed States. Health Affairs </w:t>
        </w:r>
        <w:r w:rsidR="00A00AC6" w:rsidRPr="00DD4D9F">
          <w:rPr>
            <w:rStyle w:val="Hyperlink"/>
            <w:rFonts w:cs="Times New Roman"/>
            <w:sz w:val="20"/>
            <w:szCs w:val="20"/>
            <w:u w:val="none"/>
          </w:rPr>
          <w:t>39:</w:t>
        </w:r>
        <w:r w:rsidR="00E512D6" w:rsidRPr="00DD4D9F">
          <w:rPr>
            <w:rStyle w:val="Hyperlink"/>
            <w:rFonts w:cs="Times New Roman"/>
            <w:sz w:val="20"/>
            <w:szCs w:val="20"/>
            <w:u w:val="none"/>
          </w:rPr>
          <w:t xml:space="preserve"> </w:t>
        </w:r>
        <w:r w:rsidR="00A00AC6" w:rsidRPr="00DD4D9F">
          <w:rPr>
            <w:rStyle w:val="Hyperlink"/>
            <w:rFonts w:cs="Times New Roman"/>
            <w:sz w:val="20"/>
            <w:szCs w:val="20"/>
            <w:u w:val="none"/>
          </w:rPr>
          <w:t>2010-2017.</w:t>
        </w:r>
      </w:hyperlink>
      <w:r w:rsidR="00A00AC6" w:rsidRPr="00DD4D9F">
        <w:rPr>
          <w:rFonts w:cs="Times New Roman"/>
          <w:sz w:val="20"/>
          <w:szCs w:val="20"/>
        </w:rPr>
        <w:t xml:space="preserve"> </w:t>
      </w:r>
    </w:p>
    <w:p w:rsidR="00EE404B" w:rsidRPr="00DD4D9F" w:rsidRDefault="00CF0378" w:rsidP="00DD4D9F">
      <w:pPr>
        <w:pStyle w:val="ListParagraph"/>
        <w:numPr>
          <w:ilvl w:val="0"/>
          <w:numId w:val="13"/>
        </w:numPr>
        <w:mirrorIndents/>
        <w:jc w:val="both"/>
        <w:rPr>
          <w:rFonts w:cs="Times New Roman"/>
          <w:sz w:val="20"/>
          <w:szCs w:val="20"/>
        </w:rPr>
      </w:pPr>
      <w:hyperlink r:id="rId40" w:history="1">
        <w:r w:rsidR="00A00AC6" w:rsidRPr="00DD4D9F">
          <w:rPr>
            <w:rStyle w:val="Hyperlink"/>
            <w:rFonts w:cs="Times New Roman"/>
            <w:sz w:val="20"/>
            <w:szCs w:val="20"/>
            <w:u w:val="none"/>
          </w:rPr>
          <w:t xml:space="preserve">Pérez-González A, </w:t>
        </w:r>
        <w:proofErr w:type="spellStart"/>
        <w:r w:rsidR="00A00AC6" w:rsidRPr="00DD4D9F">
          <w:rPr>
            <w:rStyle w:val="Hyperlink"/>
            <w:rFonts w:cs="Times New Roman"/>
            <w:sz w:val="20"/>
            <w:szCs w:val="20"/>
            <w:u w:val="none"/>
          </w:rPr>
          <w:t>Araújo-Ameijeiras</w:t>
        </w:r>
        <w:proofErr w:type="spellEnd"/>
        <w:r w:rsidR="00A00AC6" w:rsidRPr="00DD4D9F">
          <w:rPr>
            <w:rStyle w:val="Hyperlink"/>
            <w:rFonts w:cs="Times New Roman"/>
            <w:sz w:val="20"/>
            <w:szCs w:val="20"/>
            <w:u w:val="none"/>
          </w:rPr>
          <w:t xml:space="preserve"> A, </w:t>
        </w:r>
        <w:proofErr w:type="spellStart"/>
        <w:r w:rsidR="00A00AC6" w:rsidRPr="00DD4D9F">
          <w:rPr>
            <w:rStyle w:val="Hyperlink"/>
            <w:rFonts w:cs="Times New Roman"/>
            <w:sz w:val="20"/>
            <w:szCs w:val="20"/>
            <w:u w:val="none"/>
          </w:rPr>
          <w:t>Fernández-Villar</w:t>
        </w:r>
        <w:proofErr w:type="spellEnd"/>
        <w:r w:rsidR="00A00AC6" w:rsidRPr="00DD4D9F">
          <w:rPr>
            <w:rStyle w:val="Hyperlink"/>
            <w:rFonts w:cs="Times New Roman"/>
            <w:sz w:val="20"/>
            <w:szCs w:val="20"/>
            <w:u w:val="none"/>
          </w:rPr>
          <w:t xml:space="preserve"> A</w:t>
        </w:r>
        <w:r w:rsidR="00696973" w:rsidRPr="00DD4D9F">
          <w:rPr>
            <w:rStyle w:val="Hyperlink"/>
            <w:rFonts w:cs="Times New Roman"/>
            <w:sz w:val="20"/>
            <w:szCs w:val="20"/>
            <w:u w:val="none"/>
          </w:rPr>
          <w:t xml:space="preserve"> (2022)</w:t>
        </w:r>
        <w:r w:rsidR="00A00AC6" w:rsidRPr="00DD4D9F">
          <w:rPr>
            <w:rStyle w:val="Hyperlink"/>
            <w:rFonts w:cs="Times New Roman"/>
            <w:sz w:val="20"/>
            <w:szCs w:val="20"/>
            <w:u w:val="none"/>
          </w:rPr>
          <w:t xml:space="preserve"> Long COVID in hospitalized and non-hospitalized patients in a large cohort in Northwest Spain, a prospective cohort study. Scientifi</w:t>
        </w:r>
        <w:r w:rsidR="006E69C8" w:rsidRPr="00DD4D9F">
          <w:rPr>
            <w:rStyle w:val="Hyperlink"/>
            <w:rFonts w:cs="Times New Roman"/>
            <w:sz w:val="20"/>
            <w:szCs w:val="20"/>
            <w:u w:val="none"/>
          </w:rPr>
          <w:t>c Reports 12</w:t>
        </w:r>
        <w:r w:rsidR="00A00AC6" w:rsidRPr="00DD4D9F">
          <w:rPr>
            <w:rStyle w:val="Hyperlink"/>
            <w:rFonts w:cs="Times New Roman"/>
            <w:sz w:val="20"/>
            <w:szCs w:val="20"/>
            <w:u w:val="none"/>
          </w:rPr>
          <w:t>:</w:t>
        </w:r>
        <w:r w:rsidR="006E69C8" w:rsidRPr="00DD4D9F">
          <w:rPr>
            <w:rStyle w:val="Hyperlink"/>
            <w:rFonts w:cs="Times New Roman"/>
            <w:sz w:val="20"/>
            <w:szCs w:val="20"/>
            <w:u w:val="none"/>
          </w:rPr>
          <w:t xml:space="preserve"> </w:t>
        </w:r>
        <w:r w:rsidR="00A00AC6" w:rsidRPr="00DD4D9F">
          <w:rPr>
            <w:rStyle w:val="Hyperlink"/>
            <w:rFonts w:cs="Times New Roman"/>
            <w:sz w:val="20"/>
            <w:szCs w:val="20"/>
            <w:u w:val="none"/>
          </w:rPr>
          <w:t>3369.</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41" w:history="1">
        <w:r w:rsidR="00A00AC6" w:rsidRPr="00DD4D9F">
          <w:rPr>
            <w:rStyle w:val="Hyperlink"/>
            <w:rFonts w:cs="Times New Roman"/>
            <w:sz w:val="20"/>
            <w:szCs w:val="20"/>
            <w:u w:val="none"/>
          </w:rPr>
          <w:t xml:space="preserve">Augustin M, </w:t>
        </w:r>
        <w:proofErr w:type="spellStart"/>
        <w:r w:rsidR="00A00AC6" w:rsidRPr="00DD4D9F">
          <w:rPr>
            <w:rStyle w:val="Hyperlink"/>
            <w:rFonts w:cs="Times New Roman"/>
            <w:sz w:val="20"/>
            <w:szCs w:val="20"/>
            <w:u w:val="none"/>
          </w:rPr>
          <w:t>Schommers</w:t>
        </w:r>
        <w:proofErr w:type="spellEnd"/>
        <w:r w:rsidR="00A00AC6" w:rsidRPr="00DD4D9F">
          <w:rPr>
            <w:rStyle w:val="Hyperlink"/>
            <w:rFonts w:cs="Times New Roman"/>
            <w:sz w:val="20"/>
            <w:szCs w:val="20"/>
            <w:u w:val="none"/>
          </w:rPr>
          <w:t xml:space="preserve"> P, </w:t>
        </w:r>
        <w:proofErr w:type="spellStart"/>
        <w:r w:rsidR="00A00AC6" w:rsidRPr="00DD4D9F">
          <w:rPr>
            <w:rStyle w:val="Hyperlink"/>
            <w:rFonts w:cs="Times New Roman"/>
            <w:sz w:val="20"/>
            <w:szCs w:val="20"/>
            <w:u w:val="none"/>
          </w:rPr>
          <w:t>Stecher</w:t>
        </w:r>
        <w:proofErr w:type="spellEnd"/>
        <w:r w:rsidR="00A00AC6" w:rsidRPr="00DD4D9F">
          <w:rPr>
            <w:rStyle w:val="Hyperlink"/>
            <w:rFonts w:cs="Times New Roman"/>
            <w:sz w:val="20"/>
            <w:szCs w:val="20"/>
            <w:u w:val="none"/>
          </w:rPr>
          <w:t xml:space="preserve"> M</w:t>
        </w:r>
        <w:r w:rsidR="001E5725" w:rsidRPr="00DD4D9F">
          <w:rPr>
            <w:rStyle w:val="Hyperlink"/>
            <w:rFonts w:cs="Times New Roman"/>
            <w:sz w:val="20"/>
            <w:szCs w:val="20"/>
            <w:u w:val="none"/>
          </w:rPr>
          <w:t xml:space="preserve"> (2021)</w:t>
        </w:r>
        <w:r w:rsidR="00A00AC6" w:rsidRPr="00DD4D9F">
          <w:rPr>
            <w:rStyle w:val="Hyperlink"/>
            <w:rFonts w:cs="Times New Roman"/>
            <w:sz w:val="20"/>
            <w:szCs w:val="20"/>
            <w:u w:val="none"/>
          </w:rPr>
          <w:t xml:space="preserve"> Post-COVID syndrome in non-</w:t>
        </w:r>
        <w:proofErr w:type="spellStart"/>
        <w:r w:rsidR="00A00AC6" w:rsidRPr="00DD4D9F">
          <w:rPr>
            <w:rStyle w:val="Hyperlink"/>
            <w:rFonts w:cs="Times New Roman"/>
            <w:sz w:val="20"/>
            <w:szCs w:val="20"/>
            <w:u w:val="none"/>
          </w:rPr>
          <w:t>hospitalised</w:t>
        </w:r>
        <w:proofErr w:type="spellEnd"/>
        <w:r w:rsidR="00A00AC6" w:rsidRPr="00DD4D9F">
          <w:rPr>
            <w:rStyle w:val="Hyperlink"/>
            <w:rFonts w:cs="Times New Roman"/>
            <w:sz w:val="20"/>
            <w:szCs w:val="20"/>
            <w:u w:val="none"/>
          </w:rPr>
          <w:t xml:space="preserve"> patients with COVID-19: a longitudinal prospective cohort study. The Lancet Regional He</w:t>
        </w:r>
        <w:r w:rsidR="00F7102E" w:rsidRPr="00DD4D9F">
          <w:rPr>
            <w:rStyle w:val="Hyperlink"/>
            <w:rFonts w:cs="Times New Roman"/>
            <w:sz w:val="20"/>
            <w:szCs w:val="20"/>
            <w:u w:val="none"/>
          </w:rPr>
          <w:t>alth</w:t>
        </w:r>
        <w:r w:rsidR="00C45C64" w:rsidRPr="00DD4D9F">
          <w:rPr>
            <w:rStyle w:val="Hyperlink"/>
            <w:rFonts w:cs="Times New Roman"/>
            <w:sz w:val="20"/>
            <w:szCs w:val="20"/>
            <w:u w:val="none"/>
          </w:rPr>
          <w:t>-</w:t>
        </w:r>
        <w:r w:rsidR="00F7102E" w:rsidRPr="00DD4D9F">
          <w:rPr>
            <w:rStyle w:val="Hyperlink"/>
            <w:rFonts w:cs="Times New Roman"/>
            <w:sz w:val="20"/>
            <w:szCs w:val="20"/>
            <w:u w:val="none"/>
          </w:rPr>
          <w:t xml:space="preserve">Europe </w:t>
        </w:r>
        <w:r w:rsidR="00A00AC6" w:rsidRPr="00DD4D9F">
          <w:rPr>
            <w:rStyle w:val="Hyperlink"/>
            <w:rFonts w:cs="Times New Roman"/>
            <w:sz w:val="20"/>
            <w:szCs w:val="20"/>
            <w:u w:val="none"/>
          </w:rPr>
          <w:t>6:</w:t>
        </w:r>
        <w:r w:rsidR="00F7102E" w:rsidRPr="00DD4D9F">
          <w:rPr>
            <w:rStyle w:val="Hyperlink"/>
            <w:rFonts w:cs="Times New Roman"/>
            <w:sz w:val="20"/>
            <w:szCs w:val="20"/>
            <w:u w:val="none"/>
          </w:rPr>
          <w:t xml:space="preserve"> </w:t>
        </w:r>
        <w:r w:rsidR="00A00AC6" w:rsidRPr="00DD4D9F">
          <w:rPr>
            <w:rStyle w:val="Hyperlink"/>
            <w:rFonts w:cs="Times New Roman"/>
            <w:sz w:val="20"/>
            <w:szCs w:val="20"/>
            <w:u w:val="none"/>
          </w:rPr>
          <w:t>100122.</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42" w:history="1">
        <w:proofErr w:type="spellStart"/>
        <w:r w:rsidR="00A00AC6" w:rsidRPr="00DD4D9F">
          <w:rPr>
            <w:rStyle w:val="Hyperlink"/>
            <w:rFonts w:cs="Times New Roman"/>
            <w:sz w:val="20"/>
            <w:szCs w:val="20"/>
            <w:u w:val="none"/>
          </w:rPr>
          <w:t>Samadizadeh</w:t>
        </w:r>
        <w:proofErr w:type="spellEnd"/>
        <w:r w:rsidR="00A00AC6" w:rsidRPr="00DD4D9F">
          <w:rPr>
            <w:rStyle w:val="Hyperlink"/>
            <w:rFonts w:cs="Times New Roman"/>
            <w:sz w:val="20"/>
            <w:szCs w:val="20"/>
            <w:u w:val="none"/>
          </w:rPr>
          <w:t xml:space="preserve"> S, </w:t>
        </w:r>
        <w:proofErr w:type="spellStart"/>
        <w:r w:rsidR="00A00AC6" w:rsidRPr="00DD4D9F">
          <w:rPr>
            <w:rStyle w:val="Hyperlink"/>
            <w:rFonts w:cs="Times New Roman"/>
            <w:sz w:val="20"/>
            <w:szCs w:val="20"/>
            <w:u w:val="none"/>
          </w:rPr>
          <w:t>Masoudi</w:t>
        </w:r>
        <w:proofErr w:type="spellEnd"/>
        <w:r w:rsidR="00A00AC6" w:rsidRPr="00DD4D9F">
          <w:rPr>
            <w:rStyle w:val="Hyperlink"/>
            <w:rFonts w:cs="Times New Roman"/>
            <w:sz w:val="20"/>
            <w:szCs w:val="20"/>
            <w:u w:val="none"/>
          </w:rPr>
          <w:t xml:space="preserve"> M, </w:t>
        </w:r>
        <w:proofErr w:type="spellStart"/>
        <w:r w:rsidR="00A00AC6" w:rsidRPr="00DD4D9F">
          <w:rPr>
            <w:rStyle w:val="Hyperlink"/>
            <w:rFonts w:cs="Times New Roman"/>
            <w:sz w:val="20"/>
            <w:szCs w:val="20"/>
            <w:u w:val="none"/>
          </w:rPr>
          <w:t>Rastegar</w:t>
        </w:r>
        <w:proofErr w:type="spellEnd"/>
        <w:r w:rsidR="00A00AC6" w:rsidRPr="00DD4D9F">
          <w:rPr>
            <w:rStyle w:val="Hyperlink"/>
            <w:rFonts w:cs="Times New Roman"/>
            <w:sz w:val="20"/>
            <w:szCs w:val="20"/>
            <w:u w:val="none"/>
          </w:rPr>
          <w:t xml:space="preserve"> M, </w:t>
        </w:r>
        <w:proofErr w:type="spellStart"/>
        <w:r w:rsidR="00A00AC6" w:rsidRPr="00DD4D9F">
          <w:rPr>
            <w:rStyle w:val="Hyperlink"/>
            <w:rFonts w:cs="Times New Roman"/>
            <w:sz w:val="20"/>
            <w:szCs w:val="20"/>
            <w:u w:val="none"/>
          </w:rPr>
          <w:t>S</w:t>
        </w:r>
        <w:r w:rsidR="00DE2971" w:rsidRPr="00DD4D9F">
          <w:rPr>
            <w:rStyle w:val="Hyperlink"/>
            <w:rFonts w:cs="Times New Roman"/>
            <w:sz w:val="20"/>
            <w:szCs w:val="20"/>
            <w:u w:val="none"/>
          </w:rPr>
          <w:t>alimi</w:t>
        </w:r>
        <w:proofErr w:type="spellEnd"/>
        <w:r w:rsidR="00DE2971" w:rsidRPr="00DD4D9F">
          <w:rPr>
            <w:rStyle w:val="Hyperlink"/>
            <w:rFonts w:cs="Times New Roman"/>
            <w:sz w:val="20"/>
            <w:szCs w:val="20"/>
            <w:u w:val="none"/>
          </w:rPr>
          <w:t xml:space="preserve"> V, </w:t>
        </w:r>
        <w:proofErr w:type="spellStart"/>
        <w:r w:rsidR="00DE2971" w:rsidRPr="00DD4D9F">
          <w:rPr>
            <w:rStyle w:val="Hyperlink"/>
            <w:rFonts w:cs="Times New Roman"/>
            <w:sz w:val="20"/>
            <w:szCs w:val="20"/>
            <w:u w:val="none"/>
          </w:rPr>
          <w:t>Shahbaz</w:t>
        </w:r>
        <w:proofErr w:type="spellEnd"/>
        <w:r w:rsidR="00DE2971" w:rsidRPr="00DD4D9F">
          <w:rPr>
            <w:rStyle w:val="Hyperlink"/>
            <w:rFonts w:cs="Times New Roman"/>
            <w:sz w:val="20"/>
            <w:szCs w:val="20"/>
            <w:u w:val="none"/>
          </w:rPr>
          <w:t xml:space="preserve"> MB, </w:t>
        </w:r>
        <w:r w:rsidR="00B6529B" w:rsidRPr="00DD4D9F">
          <w:rPr>
            <w:rStyle w:val="Hyperlink"/>
            <w:rFonts w:cs="Times New Roman"/>
            <w:sz w:val="20"/>
            <w:szCs w:val="20"/>
            <w:u w:val="none"/>
          </w:rPr>
          <w:t>et al.</w:t>
        </w:r>
        <w:r w:rsidR="00DE2971" w:rsidRPr="00DD4D9F">
          <w:rPr>
            <w:rStyle w:val="Hyperlink"/>
            <w:rFonts w:cs="Times New Roman"/>
            <w:sz w:val="20"/>
            <w:szCs w:val="20"/>
            <w:u w:val="none"/>
          </w:rPr>
          <w:t xml:space="preserve"> (2021)</w:t>
        </w:r>
        <w:r w:rsidR="00A00AC6" w:rsidRPr="00DD4D9F">
          <w:rPr>
            <w:rStyle w:val="Hyperlink"/>
            <w:rFonts w:cs="Times New Roman"/>
            <w:sz w:val="20"/>
            <w:szCs w:val="20"/>
            <w:u w:val="none"/>
          </w:rPr>
          <w:t xml:space="preserve"> COVID-19: Why does disease severity vary among individuals? Respira</w:t>
        </w:r>
        <w:r w:rsidR="00AA0E2D" w:rsidRPr="00DD4D9F">
          <w:rPr>
            <w:rStyle w:val="Hyperlink"/>
            <w:rFonts w:cs="Times New Roman"/>
            <w:sz w:val="20"/>
            <w:szCs w:val="20"/>
            <w:u w:val="none"/>
          </w:rPr>
          <w:t xml:space="preserve">tory Medicine </w:t>
        </w:r>
        <w:r w:rsidR="00A00AC6" w:rsidRPr="00DD4D9F">
          <w:rPr>
            <w:rStyle w:val="Hyperlink"/>
            <w:rFonts w:cs="Times New Roman"/>
            <w:sz w:val="20"/>
            <w:szCs w:val="20"/>
            <w:u w:val="none"/>
          </w:rPr>
          <w:t>180:</w:t>
        </w:r>
        <w:r w:rsidR="00AA0E2D" w:rsidRPr="00DD4D9F">
          <w:rPr>
            <w:rStyle w:val="Hyperlink"/>
            <w:rFonts w:cs="Times New Roman"/>
            <w:sz w:val="20"/>
            <w:szCs w:val="20"/>
            <w:u w:val="none"/>
          </w:rPr>
          <w:t xml:space="preserve"> </w:t>
        </w:r>
        <w:r w:rsidR="00A00AC6" w:rsidRPr="00DD4D9F">
          <w:rPr>
            <w:rStyle w:val="Hyperlink"/>
            <w:rFonts w:cs="Times New Roman"/>
            <w:sz w:val="20"/>
            <w:szCs w:val="20"/>
            <w:u w:val="none"/>
          </w:rPr>
          <w:t>106356.</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43" w:history="1">
        <w:r w:rsidR="00476E56" w:rsidRPr="00DD4D9F">
          <w:rPr>
            <w:rStyle w:val="Hyperlink"/>
            <w:rFonts w:cs="Times New Roman"/>
            <w:sz w:val="20"/>
            <w:szCs w:val="20"/>
            <w:u w:val="none"/>
          </w:rPr>
          <w:t xml:space="preserve">Neuberger GB (2003) </w:t>
        </w:r>
        <w:r w:rsidR="00A00AC6" w:rsidRPr="00DD4D9F">
          <w:rPr>
            <w:rStyle w:val="Hyperlink"/>
            <w:rFonts w:cs="Times New Roman"/>
            <w:sz w:val="20"/>
            <w:szCs w:val="20"/>
            <w:u w:val="none"/>
          </w:rPr>
          <w:t>Measures of fatigue: The Fatigue Questionnaire, Fatigue Severity Scale, Multidimensional Assessment of Fatigue Scale, and Short Form-36 Vitality (Energy/Fatigue) Subscale of the Short Form Health Survey. Arthri</w:t>
        </w:r>
        <w:r w:rsidR="000D1E44" w:rsidRPr="00DD4D9F">
          <w:rPr>
            <w:rStyle w:val="Hyperlink"/>
            <w:rFonts w:cs="Times New Roman"/>
            <w:sz w:val="20"/>
            <w:szCs w:val="20"/>
            <w:u w:val="none"/>
          </w:rPr>
          <w:t>tis Care &amp; Research 49</w:t>
        </w:r>
        <w:r w:rsidR="00A00AC6" w:rsidRPr="00DD4D9F">
          <w:rPr>
            <w:rStyle w:val="Hyperlink"/>
            <w:rFonts w:cs="Times New Roman"/>
            <w:sz w:val="20"/>
            <w:szCs w:val="20"/>
            <w:u w:val="none"/>
          </w:rPr>
          <w:t>:</w:t>
        </w:r>
        <w:r w:rsidR="000D1E44" w:rsidRPr="00DD4D9F">
          <w:rPr>
            <w:rStyle w:val="Hyperlink"/>
            <w:rFonts w:cs="Times New Roman"/>
            <w:sz w:val="20"/>
            <w:szCs w:val="20"/>
            <w:u w:val="none"/>
          </w:rPr>
          <w:t xml:space="preserve"> </w:t>
        </w:r>
        <w:r w:rsidR="00A00AC6" w:rsidRPr="00DD4D9F">
          <w:rPr>
            <w:rStyle w:val="Hyperlink"/>
            <w:rFonts w:cs="Times New Roman"/>
            <w:sz w:val="20"/>
            <w:szCs w:val="20"/>
            <w:u w:val="none"/>
          </w:rPr>
          <w:t>S175-S183.</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44" w:history="1">
        <w:r w:rsidR="00A00AC6" w:rsidRPr="00DD4D9F">
          <w:rPr>
            <w:rStyle w:val="Hyperlink"/>
            <w:rFonts w:cs="Times New Roman"/>
            <w:sz w:val="20"/>
            <w:szCs w:val="20"/>
            <w:u w:val="none"/>
          </w:rPr>
          <w:t xml:space="preserve">Gross M, </w:t>
        </w:r>
        <w:proofErr w:type="spellStart"/>
        <w:r w:rsidR="00A00AC6" w:rsidRPr="00DD4D9F">
          <w:rPr>
            <w:rStyle w:val="Hyperlink"/>
            <w:rFonts w:cs="Times New Roman"/>
            <w:sz w:val="20"/>
            <w:szCs w:val="20"/>
            <w:u w:val="none"/>
          </w:rPr>
          <w:t>Lansang</w:t>
        </w:r>
        <w:proofErr w:type="spellEnd"/>
        <w:r w:rsidR="00A00AC6" w:rsidRPr="00DD4D9F">
          <w:rPr>
            <w:rStyle w:val="Hyperlink"/>
            <w:rFonts w:cs="Times New Roman"/>
            <w:sz w:val="20"/>
            <w:szCs w:val="20"/>
            <w:u w:val="none"/>
          </w:rPr>
          <w:t xml:space="preserve"> NM, </w:t>
        </w:r>
        <w:proofErr w:type="spellStart"/>
        <w:r w:rsidR="00A00AC6" w:rsidRPr="00DD4D9F">
          <w:rPr>
            <w:rStyle w:val="Hyperlink"/>
            <w:rFonts w:cs="Times New Roman"/>
            <w:sz w:val="20"/>
            <w:szCs w:val="20"/>
            <w:u w:val="none"/>
          </w:rPr>
          <w:t>Gopaul</w:t>
        </w:r>
        <w:proofErr w:type="spellEnd"/>
        <w:r w:rsidR="00A00AC6" w:rsidRPr="00DD4D9F">
          <w:rPr>
            <w:rStyle w:val="Hyperlink"/>
            <w:rFonts w:cs="Times New Roman"/>
            <w:sz w:val="20"/>
            <w:szCs w:val="20"/>
            <w:u w:val="none"/>
          </w:rPr>
          <w:t xml:space="preserve"> U</w:t>
        </w:r>
        <w:r w:rsidR="00DB6002" w:rsidRPr="00DD4D9F">
          <w:rPr>
            <w:rStyle w:val="Hyperlink"/>
            <w:rFonts w:cs="Times New Roman"/>
            <w:sz w:val="20"/>
            <w:szCs w:val="20"/>
            <w:u w:val="none"/>
          </w:rPr>
          <w:t xml:space="preserve"> (2023)</w:t>
        </w:r>
        <w:r w:rsidR="00A00AC6" w:rsidRPr="00DD4D9F">
          <w:rPr>
            <w:rStyle w:val="Hyperlink"/>
            <w:rFonts w:cs="Times New Roman"/>
            <w:sz w:val="20"/>
            <w:szCs w:val="20"/>
            <w:u w:val="none"/>
          </w:rPr>
          <w:t xml:space="preserve"> What Do I Need to Know About Long-</w:t>
        </w:r>
        <w:proofErr w:type="spellStart"/>
        <w:r w:rsidR="00A00AC6" w:rsidRPr="00DD4D9F">
          <w:rPr>
            <w:rStyle w:val="Hyperlink"/>
            <w:rFonts w:cs="Times New Roman"/>
            <w:sz w:val="20"/>
            <w:szCs w:val="20"/>
            <w:u w:val="none"/>
          </w:rPr>
          <w:t>Covid</w:t>
        </w:r>
        <w:proofErr w:type="spellEnd"/>
        <w:r w:rsidR="00A00AC6" w:rsidRPr="00DD4D9F">
          <w:rPr>
            <w:rStyle w:val="Hyperlink"/>
            <w:rFonts w:cs="Times New Roman"/>
            <w:sz w:val="20"/>
            <w:szCs w:val="20"/>
            <w:u w:val="none"/>
          </w:rPr>
          <w:t>-related Fatigue, Brain Fog, and Mental Health</w:t>
        </w:r>
        <w:r w:rsidR="00BD4777" w:rsidRPr="00DD4D9F">
          <w:rPr>
            <w:rStyle w:val="Hyperlink"/>
            <w:rFonts w:cs="Times New Roman"/>
            <w:sz w:val="20"/>
            <w:szCs w:val="20"/>
            <w:u w:val="none"/>
          </w:rPr>
          <w:t xml:space="preserve"> Changes? Arch </w:t>
        </w:r>
        <w:proofErr w:type="spellStart"/>
        <w:r w:rsidR="00BD4777" w:rsidRPr="00DD4D9F">
          <w:rPr>
            <w:rStyle w:val="Hyperlink"/>
            <w:rFonts w:cs="Times New Roman"/>
            <w:sz w:val="20"/>
            <w:szCs w:val="20"/>
            <w:u w:val="none"/>
          </w:rPr>
          <w:t>Phys</w:t>
        </w:r>
        <w:proofErr w:type="spellEnd"/>
        <w:r w:rsidR="00BD4777" w:rsidRPr="00DD4D9F">
          <w:rPr>
            <w:rStyle w:val="Hyperlink"/>
            <w:rFonts w:cs="Times New Roman"/>
            <w:sz w:val="20"/>
            <w:szCs w:val="20"/>
            <w:u w:val="none"/>
          </w:rPr>
          <w:t xml:space="preserve"> Med </w:t>
        </w:r>
        <w:proofErr w:type="spellStart"/>
        <w:r w:rsidR="00BD4777" w:rsidRPr="00DD4D9F">
          <w:rPr>
            <w:rStyle w:val="Hyperlink"/>
            <w:rFonts w:cs="Times New Roman"/>
            <w:sz w:val="20"/>
            <w:szCs w:val="20"/>
            <w:u w:val="none"/>
          </w:rPr>
          <w:t>Rehabil</w:t>
        </w:r>
        <w:proofErr w:type="spellEnd"/>
        <w:r w:rsidR="00BD4777" w:rsidRPr="00DD4D9F">
          <w:rPr>
            <w:rStyle w:val="Hyperlink"/>
            <w:rFonts w:cs="Times New Roman"/>
            <w:sz w:val="20"/>
            <w:szCs w:val="20"/>
            <w:u w:val="none"/>
          </w:rPr>
          <w:t xml:space="preserve"> </w:t>
        </w:r>
        <w:r w:rsidR="00A00AC6" w:rsidRPr="00DD4D9F">
          <w:rPr>
            <w:rStyle w:val="Hyperlink"/>
            <w:rFonts w:cs="Times New Roman"/>
            <w:sz w:val="20"/>
            <w:szCs w:val="20"/>
            <w:u w:val="none"/>
          </w:rPr>
          <w:t>104:</w:t>
        </w:r>
        <w:r w:rsidR="00BD4777" w:rsidRPr="00DD4D9F">
          <w:rPr>
            <w:rStyle w:val="Hyperlink"/>
            <w:rFonts w:cs="Times New Roman"/>
            <w:sz w:val="20"/>
            <w:szCs w:val="20"/>
            <w:u w:val="none"/>
          </w:rPr>
          <w:t xml:space="preserve"> </w:t>
        </w:r>
        <w:r w:rsidR="00A00AC6" w:rsidRPr="00DD4D9F">
          <w:rPr>
            <w:rStyle w:val="Hyperlink"/>
            <w:rFonts w:cs="Times New Roman"/>
            <w:sz w:val="20"/>
            <w:szCs w:val="20"/>
            <w:u w:val="none"/>
          </w:rPr>
          <w:t>996-1002.</w:t>
        </w:r>
      </w:hyperlink>
      <w:r w:rsidR="00A00AC6" w:rsidRPr="00DD4D9F">
        <w:rPr>
          <w:rFonts w:cs="Times New Roman"/>
          <w:sz w:val="20"/>
          <w:szCs w:val="20"/>
        </w:rPr>
        <w:t xml:space="preserve"> </w:t>
      </w:r>
    </w:p>
    <w:p w:rsidR="00A00AC6" w:rsidRPr="00DD4D9F" w:rsidRDefault="00CF0378" w:rsidP="00DD4D9F">
      <w:pPr>
        <w:pStyle w:val="ListParagraph"/>
        <w:numPr>
          <w:ilvl w:val="0"/>
          <w:numId w:val="13"/>
        </w:numPr>
        <w:mirrorIndents/>
        <w:jc w:val="both"/>
        <w:rPr>
          <w:rFonts w:cs="Times New Roman"/>
          <w:sz w:val="20"/>
          <w:szCs w:val="20"/>
        </w:rPr>
      </w:pPr>
      <w:hyperlink r:id="rId45" w:history="1">
        <w:proofErr w:type="spellStart"/>
        <w:r w:rsidR="00DD44BF" w:rsidRPr="00DD4D9F">
          <w:rPr>
            <w:rStyle w:val="Hyperlink"/>
            <w:rFonts w:cs="Times New Roman"/>
            <w:sz w:val="20"/>
            <w:szCs w:val="20"/>
            <w:u w:val="none"/>
          </w:rPr>
          <w:t>Ceban</w:t>
        </w:r>
        <w:proofErr w:type="spellEnd"/>
        <w:r w:rsidR="00DD44BF" w:rsidRPr="00DD4D9F">
          <w:rPr>
            <w:rStyle w:val="Hyperlink"/>
            <w:rFonts w:cs="Times New Roman"/>
            <w:sz w:val="20"/>
            <w:szCs w:val="20"/>
            <w:u w:val="none"/>
          </w:rPr>
          <w:t xml:space="preserve"> F, Ling S, </w:t>
        </w:r>
        <w:proofErr w:type="spellStart"/>
        <w:r w:rsidR="00DD44BF" w:rsidRPr="00DD4D9F">
          <w:rPr>
            <w:rStyle w:val="Hyperlink"/>
            <w:rFonts w:cs="Times New Roman"/>
            <w:sz w:val="20"/>
            <w:szCs w:val="20"/>
            <w:u w:val="none"/>
          </w:rPr>
          <w:t>Lui</w:t>
        </w:r>
        <w:proofErr w:type="spellEnd"/>
        <w:r w:rsidR="00DD44BF" w:rsidRPr="00DD4D9F">
          <w:rPr>
            <w:rStyle w:val="Hyperlink"/>
            <w:rFonts w:cs="Times New Roman"/>
            <w:sz w:val="20"/>
            <w:szCs w:val="20"/>
            <w:u w:val="none"/>
          </w:rPr>
          <w:t xml:space="preserve"> LMW (2022)</w:t>
        </w:r>
        <w:r w:rsidR="00A00AC6" w:rsidRPr="00DD4D9F">
          <w:rPr>
            <w:rStyle w:val="Hyperlink"/>
            <w:rFonts w:cs="Times New Roman"/>
            <w:sz w:val="20"/>
            <w:szCs w:val="20"/>
            <w:u w:val="none"/>
          </w:rPr>
          <w:t xml:space="preserve"> Fatigue and cognitive impairment in Post-COVID-19 Syndrome: A systematic review and meta-analys</w:t>
        </w:r>
        <w:r w:rsidR="001A1CD8" w:rsidRPr="00DD4D9F">
          <w:rPr>
            <w:rStyle w:val="Hyperlink"/>
            <w:rFonts w:cs="Times New Roman"/>
            <w:sz w:val="20"/>
            <w:szCs w:val="20"/>
            <w:u w:val="none"/>
          </w:rPr>
          <w:t xml:space="preserve">is. Brain </w:t>
        </w:r>
        <w:proofErr w:type="spellStart"/>
        <w:r w:rsidR="001A1CD8" w:rsidRPr="00DD4D9F">
          <w:rPr>
            <w:rStyle w:val="Hyperlink"/>
            <w:rFonts w:cs="Times New Roman"/>
            <w:sz w:val="20"/>
            <w:szCs w:val="20"/>
            <w:u w:val="none"/>
          </w:rPr>
          <w:t>Behav</w:t>
        </w:r>
        <w:proofErr w:type="spellEnd"/>
        <w:r w:rsidR="001A1CD8" w:rsidRPr="00DD4D9F">
          <w:rPr>
            <w:rStyle w:val="Hyperlink"/>
            <w:rFonts w:cs="Times New Roman"/>
            <w:sz w:val="20"/>
            <w:szCs w:val="20"/>
            <w:u w:val="none"/>
          </w:rPr>
          <w:t xml:space="preserve"> </w:t>
        </w:r>
        <w:proofErr w:type="spellStart"/>
        <w:r w:rsidR="001A1CD8" w:rsidRPr="00DD4D9F">
          <w:rPr>
            <w:rStyle w:val="Hyperlink"/>
            <w:rFonts w:cs="Times New Roman"/>
            <w:sz w:val="20"/>
            <w:szCs w:val="20"/>
            <w:u w:val="none"/>
          </w:rPr>
          <w:t>Immun</w:t>
        </w:r>
        <w:proofErr w:type="spellEnd"/>
        <w:r w:rsidR="001A1CD8" w:rsidRPr="00DD4D9F">
          <w:rPr>
            <w:rStyle w:val="Hyperlink"/>
            <w:rFonts w:cs="Times New Roman"/>
            <w:sz w:val="20"/>
            <w:szCs w:val="20"/>
            <w:u w:val="none"/>
          </w:rPr>
          <w:t xml:space="preserve"> </w:t>
        </w:r>
        <w:r w:rsidR="00A00AC6" w:rsidRPr="00DD4D9F">
          <w:rPr>
            <w:rStyle w:val="Hyperlink"/>
            <w:rFonts w:cs="Times New Roman"/>
            <w:sz w:val="20"/>
            <w:szCs w:val="20"/>
            <w:u w:val="none"/>
          </w:rPr>
          <w:t>101:</w:t>
        </w:r>
        <w:r w:rsidR="001A1CD8" w:rsidRPr="00DD4D9F">
          <w:rPr>
            <w:rStyle w:val="Hyperlink"/>
            <w:rFonts w:cs="Times New Roman"/>
            <w:sz w:val="20"/>
            <w:szCs w:val="20"/>
            <w:u w:val="none"/>
          </w:rPr>
          <w:t xml:space="preserve"> </w:t>
        </w:r>
        <w:r w:rsidR="00A00AC6" w:rsidRPr="00DD4D9F">
          <w:rPr>
            <w:rStyle w:val="Hyperlink"/>
            <w:rFonts w:cs="Times New Roman"/>
            <w:sz w:val="20"/>
            <w:szCs w:val="20"/>
            <w:u w:val="none"/>
          </w:rPr>
          <w:t>93-135.</w:t>
        </w:r>
      </w:hyperlink>
      <w:r w:rsidR="00A00AC6" w:rsidRPr="00DD4D9F">
        <w:rPr>
          <w:rFonts w:cs="Times New Roman"/>
          <w:sz w:val="20"/>
          <w:szCs w:val="20"/>
        </w:rPr>
        <w:t xml:space="preserve"> </w:t>
      </w:r>
    </w:p>
    <w:p w:rsidR="00A00AC6" w:rsidRPr="00DD4D9F" w:rsidRDefault="00CF0378" w:rsidP="008C2FC7">
      <w:pPr>
        <w:pStyle w:val="ListParagraph"/>
        <w:numPr>
          <w:ilvl w:val="0"/>
          <w:numId w:val="13"/>
        </w:numPr>
        <w:mirrorIndents/>
        <w:jc w:val="both"/>
        <w:rPr>
          <w:rFonts w:cs="Times New Roman"/>
          <w:sz w:val="20"/>
          <w:szCs w:val="20"/>
        </w:rPr>
      </w:pPr>
      <w:hyperlink r:id="rId46" w:history="1">
        <w:proofErr w:type="spellStart"/>
        <w:r w:rsidR="00A00AC6" w:rsidRPr="009007FB">
          <w:rPr>
            <w:rStyle w:val="Hyperlink"/>
            <w:rFonts w:cs="Times New Roman"/>
            <w:sz w:val="20"/>
            <w:szCs w:val="20"/>
            <w:u w:val="none"/>
          </w:rPr>
          <w:t>Joli</w:t>
        </w:r>
        <w:proofErr w:type="spellEnd"/>
        <w:r w:rsidR="00A00AC6" w:rsidRPr="009007FB">
          <w:rPr>
            <w:rStyle w:val="Hyperlink"/>
            <w:rFonts w:cs="Times New Roman"/>
            <w:sz w:val="20"/>
            <w:szCs w:val="20"/>
            <w:u w:val="none"/>
          </w:rPr>
          <w:t xml:space="preserve"> J, Buck P, Zipfel S, Stengel A</w:t>
        </w:r>
        <w:r w:rsidR="00A959CB" w:rsidRPr="009007FB">
          <w:rPr>
            <w:rStyle w:val="Hyperlink"/>
            <w:rFonts w:cs="Times New Roman"/>
            <w:sz w:val="20"/>
            <w:szCs w:val="20"/>
            <w:u w:val="none"/>
          </w:rPr>
          <w:t xml:space="preserve"> (2022)</w:t>
        </w:r>
        <w:r w:rsidR="00A00AC6" w:rsidRPr="009007FB">
          <w:rPr>
            <w:rStyle w:val="Hyperlink"/>
            <w:rFonts w:cs="Times New Roman"/>
            <w:sz w:val="20"/>
            <w:szCs w:val="20"/>
            <w:u w:val="none"/>
          </w:rPr>
          <w:t xml:space="preserve"> Post-COVID-19 fatigue: A systematic review. Front Ps</w:t>
        </w:r>
        <w:r w:rsidR="00860FAC" w:rsidRPr="009007FB">
          <w:rPr>
            <w:rStyle w:val="Hyperlink"/>
            <w:rFonts w:cs="Times New Roman"/>
            <w:sz w:val="20"/>
            <w:szCs w:val="20"/>
            <w:u w:val="none"/>
          </w:rPr>
          <w:t xml:space="preserve">ychiatry </w:t>
        </w:r>
        <w:r w:rsidR="00A00AC6" w:rsidRPr="009007FB">
          <w:rPr>
            <w:rStyle w:val="Hyperlink"/>
            <w:rFonts w:cs="Times New Roman"/>
            <w:sz w:val="20"/>
            <w:szCs w:val="20"/>
            <w:u w:val="none"/>
          </w:rPr>
          <w:t>13:</w:t>
        </w:r>
        <w:r w:rsidR="00860FAC" w:rsidRPr="009007FB">
          <w:rPr>
            <w:rStyle w:val="Hyperlink"/>
            <w:rFonts w:cs="Times New Roman"/>
            <w:sz w:val="20"/>
            <w:szCs w:val="20"/>
            <w:u w:val="none"/>
          </w:rPr>
          <w:t xml:space="preserve"> </w:t>
        </w:r>
        <w:r w:rsidR="00A00AC6" w:rsidRPr="009007FB">
          <w:rPr>
            <w:rStyle w:val="Hyperlink"/>
            <w:rFonts w:cs="Times New Roman"/>
            <w:sz w:val="20"/>
            <w:szCs w:val="20"/>
            <w:u w:val="none"/>
          </w:rPr>
          <w:t>947973.</w:t>
        </w:r>
      </w:hyperlink>
    </w:p>
    <w:sectPr w:rsidR="00A00AC6" w:rsidRPr="00DD4D9F" w:rsidSect="00BF27F7">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378" w:rsidRDefault="00CF0378" w:rsidP="00A00AC6">
      <w:r>
        <w:separator/>
      </w:r>
    </w:p>
  </w:endnote>
  <w:endnote w:type="continuationSeparator" w:id="0">
    <w:p w:rsidR="00CF0378" w:rsidRDefault="00CF0378" w:rsidP="00A0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5F" w:rsidRDefault="00081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5F" w:rsidRDefault="00081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5F" w:rsidRDefault="00081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378" w:rsidRDefault="00CF0378" w:rsidP="00A00AC6">
      <w:r>
        <w:separator/>
      </w:r>
    </w:p>
  </w:footnote>
  <w:footnote w:type="continuationSeparator" w:id="0">
    <w:p w:rsidR="00CF0378" w:rsidRDefault="00CF0378" w:rsidP="00A00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5F" w:rsidRDefault="00081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5F" w:rsidRDefault="00081F5F" w:rsidP="00991A6C">
    <w:pPr>
      <w:tabs>
        <w:tab w:val="left" w:pos="7426"/>
      </w:tabs>
      <w:contextualSpacing/>
      <w:mirrorIndents/>
      <w:jc w:val="both"/>
      <w:rPr>
        <w:rFonts w:cs="Times New Roman"/>
        <w:sz w:val="20"/>
        <w:szCs w:val="20"/>
      </w:rPr>
    </w:pPr>
    <w:r w:rsidRPr="00991A6C">
      <w:rPr>
        <w:rFonts w:cs="Times New Roman"/>
        <w:noProof/>
        <w:sz w:val="20"/>
        <w:szCs w:val="20"/>
        <w:lang w:val="en-AU" w:eastAsia="en-AU"/>
      </w:rPr>
      <w:drawing>
        <wp:anchor distT="0" distB="0" distL="114300" distR="114300" simplePos="0" relativeHeight="251659264" behindDoc="0" locked="0" layoutInCell="1" allowOverlap="1" wp14:anchorId="659F4B47" wp14:editId="2B17C626">
          <wp:simplePos x="0" y="0"/>
          <wp:positionH relativeFrom="column">
            <wp:posOffset>67945</wp:posOffset>
          </wp:positionH>
          <wp:positionV relativeFrom="paragraph">
            <wp:posOffset>0</wp:posOffset>
          </wp:positionV>
          <wp:extent cx="982345" cy="797560"/>
          <wp:effectExtent l="0" t="0" r="8255"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797560"/>
                  </a:xfrm>
                  <a:prstGeom prst="rect">
                    <a:avLst/>
                  </a:prstGeom>
                </pic:spPr>
              </pic:pic>
            </a:graphicData>
          </a:graphic>
        </wp:anchor>
      </w:drawing>
    </w:r>
  </w:p>
  <w:p w:rsidR="00081F5F" w:rsidRPr="006C2756" w:rsidRDefault="00081F5F" w:rsidP="00991A6C">
    <w:pPr>
      <w:tabs>
        <w:tab w:val="left" w:pos="7426"/>
      </w:tabs>
      <w:contextualSpacing/>
      <w:mirrorIndents/>
      <w:jc w:val="both"/>
      <w:rPr>
        <w:rFonts w:cs="Times New Roman"/>
        <w:sz w:val="22"/>
        <w:szCs w:val="20"/>
      </w:rPr>
    </w:pPr>
    <w:r w:rsidRPr="006C2756">
      <w:rPr>
        <w:rFonts w:cs="Times New Roman"/>
        <w:sz w:val="22"/>
        <w:szCs w:val="20"/>
      </w:rPr>
      <w:t>Columbus Publishers</w:t>
    </w:r>
  </w:p>
  <w:p w:rsidR="00081F5F" w:rsidRPr="006C2756" w:rsidRDefault="00081F5F" w:rsidP="00991A6C">
    <w:pPr>
      <w:tabs>
        <w:tab w:val="left" w:pos="7426"/>
      </w:tabs>
      <w:contextualSpacing/>
      <w:mirrorIndents/>
      <w:jc w:val="both"/>
      <w:rPr>
        <w:rFonts w:cs="Times New Roman"/>
        <w:sz w:val="22"/>
        <w:szCs w:val="20"/>
      </w:rPr>
    </w:pPr>
    <w:r w:rsidRPr="006C2756">
      <w:rPr>
        <w:rFonts w:cs="Times New Roman"/>
        <w:sz w:val="22"/>
        <w:szCs w:val="20"/>
      </w:rPr>
      <w:t>International Journal of Nursing and Health Care Science</w:t>
    </w:r>
  </w:p>
  <w:p w:rsidR="00081F5F" w:rsidRPr="006C2756" w:rsidRDefault="00081F5F" w:rsidP="00991A6C">
    <w:pPr>
      <w:contextualSpacing/>
      <w:mirrorIndents/>
      <w:jc w:val="both"/>
      <w:rPr>
        <w:rFonts w:cs="Times New Roman"/>
        <w:sz w:val="22"/>
        <w:szCs w:val="20"/>
      </w:rPr>
    </w:pPr>
    <w:r w:rsidRPr="006C2756">
      <w:rPr>
        <w:rFonts w:cs="Times New Roman"/>
        <w:sz w:val="22"/>
        <w:szCs w:val="20"/>
      </w:rPr>
      <w:t>Volume 04: Issue 12</w:t>
    </w:r>
  </w:p>
  <w:p w:rsidR="00081F5F" w:rsidRDefault="00081F5F" w:rsidP="00850FA1">
    <w:pPr>
      <w:contextualSpacing/>
      <w:mirrorIndents/>
      <w:jc w:val="both"/>
      <w:rPr>
        <w:rFonts w:cs="Times New Roman"/>
        <w:sz w:val="20"/>
        <w:szCs w:val="20"/>
      </w:rPr>
    </w:pPr>
    <w:proofErr w:type="spellStart"/>
    <w:r w:rsidRPr="006C2756">
      <w:rPr>
        <w:rFonts w:cs="Times New Roman"/>
        <w:sz w:val="22"/>
        <w:szCs w:val="20"/>
      </w:rPr>
      <w:t>Mogos</w:t>
    </w:r>
    <w:proofErr w:type="spellEnd"/>
    <w:r w:rsidRPr="006C2756">
      <w:rPr>
        <w:rFonts w:cs="Times New Roman"/>
        <w:sz w:val="22"/>
        <w:szCs w:val="20"/>
      </w:rPr>
      <w:t xml:space="preserve"> MF, et al.</w:t>
    </w:r>
    <w:r>
      <w:rPr>
        <w:rFonts w:cs="Times New Roman"/>
        <w:sz w:val="20"/>
        <w:szCs w:val="20"/>
      </w:rPr>
      <w:t xml:space="preserve"> </w:t>
    </w:r>
  </w:p>
  <w:p w:rsidR="00081F5F" w:rsidRPr="00991A6C" w:rsidRDefault="00081F5F" w:rsidP="00850FA1">
    <w:pPr>
      <w:contextualSpacing/>
      <w:mirrorIndents/>
      <w:jc w:val="both"/>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5F" w:rsidRDefault="00081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1"/>
    <w:multiLevelType w:val="multilevel"/>
    <w:tmpl w:val="AA50741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4F841C8"/>
    <w:multiLevelType w:val="multilevel"/>
    <w:tmpl w:val="9BC2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800B2"/>
    <w:multiLevelType w:val="hybridMultilevel"/>
    <w:tmpl w:val="C99ABC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C9867E2"/>
    <w:multiLevelType w:val="hybridMultilevel"/>
    <w:tmpl w:val="608E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7101D"/>
    <w:multiLevelType w:val="hybridMultilevel"/>
    <w:tmpl w:val="5E0AFFDE"/>
    <w:lvl w:ilvl="0" w:tplc="97D6586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82BB3"/>
    <w:multiLevelType w:val="hybridMultilevel"/>
    <w:tmpl w:val="8C146DFC"/>
    <w:lvl w:ilvl="0" w:tplc="EF6E10D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DCA0A26"/>
    <w:multiLevelType w:val="hybridMultilevel"/>
    <w:tmpl w:val="15A49C12"/>
    <w:lvl w:ilvl="0" w:tplc="EF6E10DE">
      <w:start w:val="1"/>
      <w:numFmt w:val="decimal"/>
      <w:lvlText w:val="%1."/>
      <w:lvlJc w:val="left"/>
      <w:pPr>
        <w:ind w:left="72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28A4F9C"/>
    <w:multiLevelType w:val="hybridMultilevel"/>
    <w:tmpl w:val="905EF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9A7FAE"/>
    <w:multiLevelType w:val="hybridMultilevel"/>
    <w:tmpl w:val="C518ADD0"/>
    <w:lvl w:ilvl="0" w:tplc="D57C74F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913BB"/>
    <w:multiLevelType w:val="hybridMultilevel"/>
    <w:tmpl w:val="8C228A50"/>
    <w:lvl w:ilvl="0" w:tplc="97BA491E">
      <w:start w:val="1"/>
      <w:numFmt w:val="decimal"/>
      <w:lvlText w:val="%1."/>
      <w:lvlJc w:val="left"/>
      <w:pPr>
        <w:ind w:left="36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A820496"/>
    <w:multiLevelType w:val="hybridMultilevel"/>
    <w:tmpl w:val="7116B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F55B64"/>
    <w:multiLevelType w:val="hybridMultilevel"/>
    <w:tmpl w:val="CD1C2D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40D001A"/>
    <w:multiLevelType w:val="hybridMultilevel"/>
    <w:tmpl w:val="C44C2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A65B0"/>
    <w:multiLevelType w:val="hybridMultilevel"/>
    <w:tmpl w:val="A478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F59"/>
    <w:multiLevelType w:val="hybridMultilevel"/>
    <w:tmpl w:val="5E7C3A82"/>
    <w:lvl w:ilvl="0" w:tplc="018A670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4"/>
  </w:num>
  <w:num w:numId="5">
    <w:abstractNumId w:val="8"/>
  </w:num>
  <w:num w:numId="6">
    <w:abstractNumId w:val="0"/>
  </w:num>
  <w:num w:numId="7">
    <w:abstractNumId w:val="1"/>
  </w:num>
  <w:num w:numId="8">
    <w:abstractNumId w:val="13"/>
  </w:num>
  <w:num w:numId="9">
    <w:abstractNumId w:val="11"/>
  </w:num>
  <w:num w:numId="10">
    <w:abstractNumId w:val="5"/>
  </w:num>
  <w:num w:numId="11">
    <w:abstractNumId w:val="6"/>
  </w:num>
  <w:num w:numId="12">
    <w:abstractNumId w:val="14"/>
  </w:num>
  <w:num w:numId="13">
    <w:abstractNumId w:val="9"/>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A9"/>
    <w:rsid w:val="00001399"/>
    <w:rsid w:val="00007458"/>
    <w:rsid w:val="00007C97"/>
    <w:rsid w:val="00010D18"/>
    <w:rsid w:val="00013FFF"/>
    <w:rsid w:val="00024BAA"/>
    <w:rsid w:val="00026A67"/>
    <w:rsid w:val="00032933"/>
    <w:rsid w:val="0004697A"/>
    <w:rsid w:val="00055D6C"/>
    <w:rsid w:val="00063978"/>
    <w:rsid w:val="00063DCD"/>
    <w:rsid w:val="00065558"/>
    <w:rsid w:val="00074C8A"/>
    <w:rsid w:val="00081F5F"/>
    <w:rsid w:val="00086D48"/>
    <w:rsid w:val="00087ECF"/>
    <w:rsid w:val="000927D2"/>
    <w:rsid w:val="00092EBC"/>
    <w:rsid w:val="000A18B8"/>
    <w:rsid w:val="000A78E4"/>
    <w:rsid w:val="000A794F"/>
    <w:rsid w:val="000C4554"/>
    <w:rsid w:val="000D1E44"/>
    <w:rsid w:val="000D2E25"/>
    <w:rsid w:val="000F01E2"/>
    <w:rsid w:val="000F5233"/>
    <w:rsid w:val="00112BFE"/>
    <w:rsid w:val="00116917"/>
    <w:rsid w:val="00117BE1"/>
    <w:rsid w:val="00121CDE"/>
    <w:rsid w:val="0013389B"/>
    <w:rsid w:val="001353ED"/>
    <w:rsid w:val="0014055D"/>
    <w:rsid w:val="00143CAB"/>
    <w:rsid w:val="00152257"/>
    <w:rsid w:val="00170A81"/>
    <w:rsid w:val="00173C02"/>
    <w:rsid w:val="0018232F"/>
    <w:rsid w:val="00184D87"/>
    <w:rsid w:val="0018714C"/>
    <w:rsid w:val="0019188F"/>
    <w:rsid w:val="00191A8A"/>
    <w:rsid w:val="001A1CD8"/>
    <w:rsid w:val="001A3843"/>
    <w:rsid w:val="001A41E1"/>
    <w:rsid w:val="001C2E39"/>
    <w:rsid w:val="001C336B"/>
    <w:rsid w:val="001C35B6"/>
    <w:rsid w:val="001D572A"/>
    <w:rsid w:val="001E5725"/>
    <w:rsid w:val="001E6BB5"/>
    <w:rsid w:val="001E6EDC"/>
    <w:rsid w:val="001F3597"/>
    <w:rsid w:val="001F6B24"/>
    <w:rsid w:val="002071A4"/>
    <w:rsid w:val="002167A5"/>
    <w:rsid w:val="00230D74"/>
    <w:rsid w:val="0023673F"/>
    <w:rsid w:val="00240E1C"/>
    <w:rsid w:val="002505F8"/>
    <w:rsid w:val="0026127C"/>
    <w:rsid w:val="00266978"/>
    <w:rsid w:val="00285D71"/>
    <w:rsid w:val="002860AB"/>
    <w:rsid w:val="002A31CD"/>
    <w:rsid w:val="002A4224"/>
    <w:rsid w:val="002A55CC"/>
    <w:rsid w:val="002A6C0B"/>
    <w:rsid w:val="002B7B60"/>
    <w:rsid w:val="002C761F"/>
    <w:rsid w:val="002D6377"/>
    <w:rsid w:val="002E1B5F"/>
    <w:rsid w:val="002E28FF"/>
    <w:rsid w:val="00304BDA"/>
    <w:rsid w:val="0031355A"/>
    <w:rsid w:val="00324ED5"/>
    <w:rsid w:val="003418EB"/>
    <w:rsid w:val="0034311E"/>
    <w:rsid w:val="00347D53"/>
    <w:rsid w:val="00357DA0"/>
    <w:rsid w:val="00360C52"/>
    <w:rsid w:val="00364F8A"/>
    <w:rsid w:val="003662C5"/>
    <w:rsid w:val="003813EA"/>
    <w:rsid w:val="00387CF0"/>
    <w:rsid w:val="00390274"/>
    <w:rsid w:val="00392093"/>
    <w:rsid w:val="003947A1"/>
    <w:rsid w:val="00396B71"/>
    <w:rsid w:val="003A2F1E"/>
    <w:rsid w:val="003B432A"/>
    <w:rsid w:val="003C07AF"/>
    <w:rsid w:val="003C10C1"/>
    <w:rsid w:val="003C30E0"/>
    <w:rsid w:val="003D13A7"/>
    <w:rsid w:val="003D6134"/>
    <w:rsid w:val="003E177C"/>
    <w:rsid w:val="00400A8F"/>
    <w:rsid w:val="00402C8E"/>
    <w:rsid w:val="004311BC"/>
    <w:rsid w:val="00431674"/>
    <w:rsid w:val="00433794"/>
    <w:rsid w:val="004368AF"/>
    <w:rsid w:val="00442750"/>
    <w:rsid w:val="00442C39"/>
    <w:rsid w:val="00442F4E"/>
    <w:rsid w:val="004560E2"/>
    <w:rsid w:val="0045658C"/>
    <w:rsid w:val="004569E0"/>
    <w:rsid w:val="004630BD"/>
    <w:rsid w:val="00474D37"/>
    <w:rsid w:val="00476E56"/>
    <w:rsid w:val="004903A4"/>
    <w:rsid w:val="00492833"/>
    <w:rsid w:val="0049358B"/>
    <w:rsid w:val="00493F11"/>
    <w:rsid w:val="004A25B7"/>
    <w:rsid w:val="004A45CF"/>
    <w:rsid w:val="004A6F9D"/>
    <w:rsid w:val="004B50FA"/>
    <w:rsid w:val="004B5972"/>
    <w:rsid w:val="004C5777"/>
    <w:rsid w:val="004D27CD"/>
    <w:rsid w:val="004D3951"/>
    <w:rsid w:val="004D471C"/>
    <w:rsid w:val="004E076B"/>
    <w:rsid w:val="004E511C"/>
    <w:rsid w:val="004E6669"/>
    <w:rsid w:val="004F4643"/>
    <w:rsid w:val="004F599A"/>
    <w:rsid w:val="004F7A37"/>
    <w:rsid w:val="005179AA"/>
    <w:rsid w:val="0052731B"/>
    <w:rsid w:val="00545FAC"/>
    <w:rsid w:val="00551863"/>
    <w:rsid w:val="00563B64"/>
    <w:rsid w:val="005641ED"/>
    <w:rsid w:val="005676C3"/>
    <w:rsid w:val="0058203F"/>
    <w:rsid w:val="00582478"/>
    <w:rsid w:val="0058375E"/>
    <w:rsid w:val="00585142"/>
    <w:rsid w:val="00586AE2"/>
    <w:rsid w:val="005B1692"/>
    <w:rsid w:val="005B46D3"/>
    <w:rsid w:val="005D3276"/>
    <w:rsid w:val="005F2374"/>
    <w:rsid w:val="005F2F03"/>
    <w:rsid w:val="005F755C"/>
    <w:rsid w:val="006156E5"/>
    <w:rsid w:val="00623A69"/>
    <w:rsid w:val="00623F99"/>
    <w:rsid w:val="00662432"/>
    <w:rsid w:val="006706B8"/>
    <w:rsid w:val="006737EA"/>
    <w:rsid w:val="00674343"/>
    <w:rsid w:val="0067671D"/>
    <w:rsid w:val="0068325A"/>
    <w:rsid w:val="0068658A"/>
    <w:rsid w:val="006912B9"/>
    <w:rsid w:val="00696186"/>
    <w:rsid w:val="00696973"/>
    <w:rsid w:val="006C163D"/>
    <w:rsid w:val="006C2756"/>
    <w:rsid w:val="006C2933"/>
    <w:rsid w:val="006C5CA4"/>
    <w:rsid w:val="006C5E26"/>
    <w:rsid w:val="006D0C5E"/>
    <w:rsid w:val="006E29BB"/>
    <w:rsid w:val="006E69C8"/>
    <w:rsid w:val="006F4E32"/>
    <w:rsid w:val="00703127"/>
    <w:rsid w:val="00704FAB"/>
    <w:rsid w:val="00711460"/>
    <w:rsid w:val="007214E4"/>
    <w:rsid w:val="00724ABD"/>
    <w:rsid w:val="0072607E"/>
    <w:rsid w:val="00730302"/>
    <w:rsid w:val="007308FE"/>
    <w:rsid w:val="007414EE"/>
    <w:rsid w:val="00741DA1"/>
    <w:rsid w:val="00745B57"/>
    <w:rsid w:val="007611CC"/>
    <w:rsid w:val="007759C7"/>
    <w:rsid w:val="00781BC7"/>
    <w:rsid w:val="0078372B"/>
    <w:rsid w:val="007868F9"/>
    <w:rsid w:val="00790F6F"/>
    <w:rsid w:val="007A74C8"/>
    <w:rsid w:val="007B11D6"/>
    <w:rsid w:val="007B4B6C"/>
    <w:rsid w:val="007B66D2"/>
    <w:rsid w:val="007D7FAB"/>
    <w:rsid w:val="007E200C"/>
    <w:rsid w:val="007E31B7"/>
    <w:rsid w:val="007E3E8C"/>
    <w:rsid w:val="007E6870"/>
    <w:rsid w:val="007F07B9"/>
    <w:rsid w:val="0080493A"/>
    <w:rsid w:val="00804EC5"/>
    <w:rsid w:val="00817A09"/>
    <w:rsid w:val="00821D0E"/>
    <w:rsid w:val="00837646"/>
    <w:rsid w:val="00844C30"/>
    <w:rsid w:val="00850FA1"/>
    <w:rsid w:val="00852A0A"/>
    <w:rsid w:val="008530D7"/>
    <w:rsid w:val="00860FAC"/>
    <w:rsid w:val="008643DD"/>
    <w:rsid w:val="00880976"/>
    <w:rsid w:val="00880DBF"/>
    <w:rsid w:val="00882746"/>
    <w:rsid w:val="00893A7D"/>
    <w:rsid w:val="008A2CA2"/>
    <w:rsid w:val="008A2EF3"/>
    <w:rsid w:val="008B2D47"/>
    <w:rsid w:val="008C6D6A"/>
    <w:rsid w:val="008D3A5A"/>
    <w:rsid w:val="008E08EB"/>
    <w:rsid w:val="008E28A7"/>
    <w:rsid w:val="008F0F3F"/>
    <w:rsid w:val="009007FB"/>
    <w:rsid w:val="009100B7"/>
    <w:rsid w:val="0091379F"/>
    <w:rsid w:val="00915F61"/>
    <w:rsid w:val="009163BB"/>
    <w:rsid w:val="00934CBE"/>
    <w:rsid w:val="00946DB5"/>
    <w:rsid w:val="00954A1A"/>
    <w:rsid w:val="009741AA"/>
    <w:rsid w:val="0097582B"/>
    <w:rsid w:val="00981367"/>
    <w:rsid w:val="00983649"/>
    <w:rsid w:val="00991A6C"/>
    <w:rsid w:val="009A0747"/>
    <w:rsid w:val="009A0CF9"/>
    <w:rsid w:val="009A192F"/>
    <w:rsid w:val="009A24C9"/>
    <w:rsid w:val="009B0DAB"/>
    <w:rsid w:val="009B534C"/>
    <w:rsid w:val="009C08F7"/>
    <w:rsid w:val="009C2A5F"/>
    <w:rsid w:val="009D600B"/>
    <w:rsid w:val="009E7CF5"/>
    <w:rsid w:val="009F3BD7"/>
    <w:rsid w:val="009F5651"/>
    <w:rsid w:val="00A004AD"/>
    <w:rsid w:val="00A00AC6"/>
    <w:rsid w:val="00A142F9"/>
    <w:rsid w:val="00A27430"/>
    <w:rsid w:val="00A27F8E"/>
    <w:rsid w:val="00A3040A"/>
    <w:rsid w:val="00A41076"/>
    <w:rsid w:val="00A44C87"/>
    <w:rsid w:val="00A6025C"/>
    <w:rsid w:val="00A60ADF"/>
    <w:rsid w:val="00A61666"/>
    <w:rsid w:val="00A674A8"/>
    <w:rsid w:val="00A678C2"/>
    <w:rsid w:val="00A8033F"/>
    <w:rsid w:val="00A82E01"/>
    <w:rsid w:val="00A835D0"/>
    <w:rsid w:val="00A9565D"/>
    <w:rsid w:val="00A959CB"/>
    <w:rsid w:val="00A96B45"/>
    <w:rsid w:val="00AA0C9D"/>
    <w:rsid w:val="00AA0E2D"/>
    <w:rsid w:val="00AA5DC1"/>
    <w:rsid w:val="00AB2FA6"/>
    <w:rsid w:val="00AB39A8"/>
    <w:rsid w:val="00AB4C46"/>
    <w:rsid w:val="00AC4716"/>
    <w:rsid w:val="00AC497B"/>
    <w:rsid w:val="00AE7036"/>
    <w:rsid w:val="00AF5B33"/>
    <w:rsid w:val="00AF668B"/>
    <w:rsid w:val="00AF6E3B"/>
    <w:rsid w:val="00AF7284"/>
    <w:rsid w:val="00B07614"/>
    <w:rsid w:val="00B11642"/>
    <w:rsid w:val="00B24F69"/>
    <w:rsid w:val="00B251E2"/>
    <w:rsid w:val="00B30458"/>
    <w:rsid w:val="00B50CCC"/>
    <w:rsid w:val="00B50F80"/>
    <w:rsid w:val="00B55037"/>
    <w:rsid w:val="00B6529B"/>
    <w:rsid w:val="00B828F3"/>
    <w:rsid w:val="00B8792B"/>
    <w:rsid w:val="00BA6661"/>
    <w:rsid w:val="00BA6F45"/>
    <w:rsid w:val="00BB6DA6"/>
    <w:rsid w:val="00BB7E82"/>
    <w:rsid w:val="00BC00BD"/>
    <w:rsid w:val="00BC3335"/>
    <w:rsid w:val="00BC6405"/>
    <w:rsid w:val="00BC70C3"/>
    <w:rsid w:val="00BD45E4"/>
    <w:rsid w:val="00BD4777"/>
    <w:rsid w:val="00BD6125"/>
    <w:rsid w:val="00BF27F7"/>
    <w:rsid w:val="00C149B8"/>
    <w:rsid w:val="00C30F77"/>
    <w:rsid w:val="00C365F6"/>
    <w:rsid w:val="00C45C64"/>
    <w:rsid w:val="00C522D0"/>
    <w:rsid w:val="00C55E97"/>
    <w:rsid w:val="00C567A7"/>
    <w:rsid w:val="00C64846"/>
    <w:rsid w:val="00C75AF1"/>
    <w:rsid w:val="00C8090B"/>
    <w:rsid w:val="00C81B77"/>
    <w:rsid w:val="00C83973"/>
    <w:rsid w:val="00C93974"/>
    <w:rsid w:val="00C93A99"/>
    <w:rsid w:val="00CA3734"/>
    <w:rsid w:val="00CA69BA"/>
    <w:rsid w:val="00CA6A82"/>
    <w:rsid w:val="00CB0A0F"/>
    <w:rsid w:val="00CB17B8"/>
    <w:rsid w:val="00CD0A51"/>
    <w:rsid w:val="00CE2366"/>
    <w:rsid w:val="00CE6A64"/>
    <w:rsid w:val="00CF0378"/>
    <w:rsid w:val="00CF26BF"/>
    <w:rsid w:val="00D10393"/>
    <w:rsid w:val="00D15C34"/>
    <w:rsid w:val="00D22040"/>
    <w:rsid w:val="00D249FD"/>
    <w:rsid w:val="00D26C69"/>
    <w:rsid w:val="00D404EE"/>
    <w:rsid w:val="00D42EAA"/>
    <w:rsid w:val="00D431B8"/>
    <w:rsid w:val="00D503D5"/>
    <w:rsid w:val="00D52DF7"/>
    <w:rsid w:val="00D650F9"/>
    <w:rsid w:val="00D81FF4"/>
    <w:rsid w:val="00D93BA1"/>
    <w:rsid w:val="00DA14A1"/>
    <w:rsid w:val="00DB6002"/>
    <w:rsid w:val="00DC24B1"/>
    <w:rsid w:val="00DC37B4"/>
    <w:rsid w:val="00DD1EA9"/>
    <w:rsid w:val="00DD44BF"/>
    <w:rsid w:val="00DD4D9F"/>
    <w:rsid w:val="00DD7E58"/>
    <w:rsid w:val="00DD7EE7"/>
    <w:rsid w:val="00DE2971"/>
    <w:rsid w:val="00DE6B1F"/>
    <w:rsid w:val="00DF0CAC"/>
    <w:rsid w:val="00E17247"/>
    <w:rsid w:val="00E225C6"/>
    <w:rsid w:val="00E241CD"/>
    <w:rsid w:val="00E311F0"/>
    <w:rsid w:val="00E3192E"/>
    <w:rsid w:val="00E31D6A"/>
    <w:rsid w:val="00E349DD"/>
    <w:rsid w:val="00E35C64"/>
    <w:rsid w:val="00E45889"/>
    <w:rsid w:val="00E465D9"/>
    <w:rsid w:val="00E50ECF"/>
    <w:rsid w:val="00E51284"/>
    <w:rsid w:val="00E512D6"/>
    <w:rsid w:val="00E5508B"/>
    <w:rsid w:val="00E57AED"/>
    <w:rsid w:val="00E62B8F"/>
    <w:rsid w:val="00E62CF8"/>
    <w:rsid w:val="00E64E49"/>
    <w:rsid w:val="00E6768F"/>
    <w:rsid w:val="00E72E73"/>
    <w:rsid w:val="00E81C80"/>
    <w:rsid w:val="00EA6264"/>
    <w:rsid w:val="00EB51D4"/>
    <w:rsid w:val="00EC3814"/>
    <w:rsid w:val="00ED04BE"/>
    <w:rsid w:val="00ED3AEC"/>
    <w:rsid w:val="00ED6DFE"/>
    <w:rsid w:val="00ED7530"/>
    <w:rsid w:val="00EE404B"/>
    <w:rsid w:val="00EE44C5"/>
    <w:rsid w:val="00EE4C58"/>
    <w:rsid w:val="00EF4093"/>
    <w:rsid w:val="00EF63E2"/>
    <w:rsid w:val="00F12392"/>
    <w:rsid w:val="00F17FB4"/>
    <w:rsid w:val="00F21F3E"/>
    <w:rsid w:val="00F2651F"/>
    <w:rsid w:val="00F32A0C"/>
    <w:rsid w:val="00F445B2"/>
    <w:rsid w:val="00F455D4"/>
    <w:rsid w:val="00F4630B"/>
    <w:rsid w:val="00F51185"/>
    <w:rsid w:val="00F54C2E"/>
    <w:rsid w:val="00F66268"/>
    <w:rsid w:val="00F670BD"/>
    <w:rsid w:val="00F7102E"/>
    <w:rsid w:val="00F96AC7"/>
    <w:rsid w:val="00F9709E"/>
    <w:rsid w:val="00F974B8"/>
    <w:rsid w:val="00FA441F"/>
    <w:rsid w:val="00FA4E0A"/>
    <w:rsid w:val="00FA6813"/>
    <w:rsid w:val="00FC1C7F"/>
    <w:rsid w:val="00FC249F"/>
    <w:rsid w:val="00FD748A"/>
    <w:rsid w:val="00FD764B"/>
    <w:rsid w:val="00FF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0E31"/>
  <w15:chartTrackingRefBased/>
  <w15:docId w15:val="{B99B4DFF-65A0-4425-B0C1-7FE38736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E97"/>
    <w:pPr>
      <w:spacing w:after="0" w:line="240" w:lineRule="auto"/>
    </w:pPr>
    <w:rPr>
      <w:rFonts w:ascii="Times New Roman" w:eastAsia="Calibri" w:hAnsi="Times New Roman" w:cs="Times New Roman (Body 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E97"/>
    <w:pPr>
      <w:spacing w:before="100" w:beforeAutospacing="1" w:after="100" w:afterAutospacing="1"/>
    </w:pPr>
    <w:rPr>
      <w:rFonts w:eastAsia="Times New Roman" w:cs="Times New Roman"/>
      <w:kern w:val="0"/>
    </w:rPr>
  </w:style>
  <w:style w:type="paragraph" w:styleId="ListParagraph">
    <w:name w:val="List Paragraph"/>
    <w:basedOn w:val="Normal"/>
    <w:uiPriority w:val="34"/>
    <w:qFormat/>
    <w:rsid w:val="00C55E97"/>
    <w:pPr>
      <w:ind w:left="720"/>
      <w:contextualSpacing/>
    </w:pPr>
  </w:style>
  <w:style w:type="character" w:styleId="CommentReference">
    <w:name w:val="annotation reference"/>
    <w:uiPriority w:val="99"/>
    <w:semiHidden/>
    <w:unhideWhenUsed/>
    <w:rsid w:val="00C55E97"/>
    <w:rPr>
      <w:sz w:val="16"/>
      <w:szCs w:val="16"/>
    </w:rPr>
  </w:style>
  <w:style w:type="paragraph" w:styleId="CommentText">
    <w:name w:val="annotation text"/>
    <w:basedOn w:val="Normal"/>
    <w:link w:val="CommentTextChar"/>
    <w:uiPriority w:val="99"/>
    <w:semiHidden/>
    <w:unhideWhenUsed/>
    <w:rsid w:val="00C55E97"/>
    <w:rPr>
      <w:sz w:val="20"/>
      <w:szCs w:val="20"/>
    </w:rPr>
  </w:style>
  <w:style w:type="character" w:customStyle="1" w:styleId="CommentTextChar">
    <w:name w:val="Comment Text Char"/>
    <w:basedOn w:val="DefaultParagraphFont"/>
    <w:link w:val="CommentText"/>
    <w:uiPriority w:val="99"/>
    <w:semiHidden/>
    <w:rsid w:val="00C55E97"/>
    <w:rPr>
      <w:rFonts w:ascii="Times New Roman" w:eastAsia="Calibri" w:hAnsi="Times New Roman" w:cs="Times New Roman (Body CS)"/>
      <w:kern w:val="2"/>
      <w:sz w:val="20"/>
      <w:szCs w:val="20"/>
    </w:rPr>
  </w:style>
  <w:style w:type="paragraph" w:styleId="CommentSubject">
    <w:name w:val="annotation subject"/>
    <w:basedOn w:val="CommentText"/>
    <w:next w:val="CommentText"/>
    <w:link w:val="CommentSubjectChar"/>
    <w:uiPriority w:val="99"/>
    <w:semiHidden/>
    <w:unhideWhenUsed/>
    <w:rsid w:val="00C55E97"/>
    <w:rPr>
      <w:b/>
      <w:bCs/>
    </w:rPr>
  </w:style>
  <w:style w:type="character" w:customStyle="1" w:styleId="CommentSubjectChar">
    <w:name w:val="Comment Subject Char"/>
    <w:basedOn w:val="CommentTextChar"/>
    <w:link w:val="CommentSubject"/>
    <w:uiPriority w:val="99"/>
    <w:semiHidden/>
    <w:rsid w:val="00C55E97"/>
    <w:rPr>
      <w:rFonts w:ascii="Times New Roman" w:eastAsia="Calibri" w:hAnsi="Times New Roman" w:cs="Times New Roman (Body CS)"/>
      <w:b/>
      <w:bCs/>
      <w:kern w:val="2"/>
      <w:sz w:val="20"/>
      <w:szCs w:val="20"/>
    </w:rPr>
  </w:style>
  <w:style w:type="table" w:styleId="TableGrid">
    <w:name w:val="Table Grid"/>
    <w:basedOn w:val="TableNormal"/>
    <w:uiPriority w:val="39"/>
    <w:rsid w:val="00C55E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55E97"/>
    <w:pPr>
      <w:jc w:val="center"/>
    </w:pPr>
    <w:rPr>
      <w:rFonts w:cs="Times New Roman"/>
      <w:noProof/>
    </w:rPr>
  </w:style>
  <w:style w:type="character" w:customStyle="1" w:styleId="EndNoteBibliographyTitleChar">
    <w:name w:val="EndNote Bibliography Title Char"/>
    <w:link w:val="EndNoteBibliographyTitle"/>
    <w:rsid w:val="00C55E97"/>
    <w:rPr>
      <w:rFonts w:ascii="Times New Roman" w:eastAsia="Calibri" w:hAnsi="Times New Roman" w:cs="Times New Roman"/>
      <w:noProof/>
      <w:kern w:val="2"/>
      <w:sz w:val="24"/>
      <w:szCs w:val="24"/>
    </w:rPr>
  </w:style>
  <w:style w:type="paragraph" w:customStyle="1" w:styleId="EndNoteBibliography">
    <w:name w:val="EndNote Bibliography"/>
    <w:basedOn w:val="Normal"/>
    <w:link w:val="EndNoteBibliographyChar"/>
    <w:rsid w:val="00C55E97"/>
    <w:rPr>
      <w:rFonts w:cs="Times New Roman"/>
      <w:noProof/>
    </w:rPr>
  </w:style>
  <w:style w:type="character" w:customStyle="1" w:styleId="EndNoteBibliographyChar">
    <w:name w:val="EndNote Bibliography Char"/>
    <w:link w:val="EndNoteBibliography"/>
    <w:rsid w:val="00C55E97"/>
    <w:rPr>
      <w:rFonts w:ascii="Times New Roman" w:eastAsia="Calibri" w:hAnsi="Times New Roman" w:cs="Times New Roman"/>
      <w:noProof/>
      <w:kern w:val="2"/>
      <w:sz w:val="24"/>
      <w:szCs w:val="24"/>
    </w:rPr>
  </w:style>
  <w:style w:type="character" w:customStyle="1" w:styleId="VerbatimChar">
    <w:name w:val="Verbatim Char"/>
    <w:link w:val="SourceCode"/>
    <w:rsid w:val="00C55E97"/>
    <w:rPr>
      <w:rFonts w:ascii="Consolas" w:hAnsi="Consolas"/>
      <w:shd w:val="clear" w:color="auto" w:fill="F8F8F8"/>
    </w:rPr>
  </w:style>
  <w:style w:type="paragraph" w:customStyle="1" w:styleId="SourceCode">
    <w:name w:val="Source Code"/>
    <w:basedOn w:val="Normal"/>
    <w:link w:val="VerbatimChar"/>
    <w:rsid w:val="00C55E97"/>
    <w:pPr>
      <w:shd w:val="clear" w:color="auto" w:fill="F8F8F8"/>
      <w:wordWrap w:val="0"/>
      <w:spacing w:after="200"/>
    </w:pPr>
    <w:rPr>
      <w:rFonts w:ascii="Consolas" w:eastAsiaTheme="minorHAnsi" w:hAnsi="Consolas" w:cstheme="minorBidi"/>
      <w:kern w:val="0"/>
      <w:sz w:val="22"/>
      <w:szCs w:val="22"/>
    </w:rPr>
  </w:style>
  <w:style w:type="character" w:styleId="Hyperlink">
    <w:name w:val="Hyperlink"/>
    <w:uiPriority w:val="99"/>
    <w:unhideWhenUsed/>
    <w:rsid w:val="00C55E97"/>
    <w:rPr>
      <w:color w:val="0563C1"/>
      <w:u w:val="single"/>
    </w:rPr>
  </w:style>
  <w:style w:type="character" w:customStyle="1" w:styleId="UnresolvedMention">
    <w:name w:val="Unresolved Mention"/>
    <w:uiPriority w:val="99"/>
    <w:rsid w:val="00C55E97"/>
    <w:rPr>
      <w:color w:val="605E5C"/>
      <w:shd w:val="clear" w:color="auto" w:fill="E1DFDD"/>
    </w:rPr>
  </w:style>
  <w:style w:type="paragraph" w:styleId="Header">
    <w:name w:val="header"/>
    <w:basedOn w:val="Normal"/>
    <w:link w:val="HeaderChar"/>
    <w:uiPriority w:val="99"/>
    <w:unhideWhenUsed/>
    <w:rsid w:val="00C55E97"/>
    <w:pPr>
      <w:tabs>
        <w:tab w:val="center" w:pos="4680"/>
        <w:tab w:val="right" w:pos="9360"/>
      </w:tabs>
    </w:pPr>
  </w:style>
  <w:style w:type="character" w:customStyle="1" w:styleId="HeaderChar">
    <w:name w:val="Header Char"/>
    <w:basedOn w:val="DefaultParagraphFont"/>
    <w:link w:val="Header"/>
    <w:uiPriority w:val="99"/>
    <w:rsid w:val="00C55E97"/>
    <w:rPr>
      <w:rFonts w:ascii="Times New Roman" w:eastAsia="Calibri" w:hAnsi="Times New Roman" w:cs="Times New Roman (Body CS)"/>
      <w:kern w:val="2"/>
      <w:sz w:val="24"/>
      <w:szCs w:val="24"/>
    </w:rPr>
  </w:style>
  <w:style w:type="paragraph" w:styleId="Footer">
    <w:name w:val="footer"/>
    <w:basedOn w:val="Normal"/>
    <w:link w:val="FooterChar"/>
    <w:uiPriority w:val="99"/>
    <w:unhideWhenUsed/>
    <w:rsid w:val="00C55E97"/>
    <w:pPr>
      <w:tabs>
        <w:tab w:val="center" w:pos="4680"/>
        <w:tab w:val="right" w:pos="9360"/>
      </w:tabs>
    </w:pPr>
  </w:style>
  <w:style w:type="character" w:customStyle="1" w:styleId="FooterChar">
    <w:name w:val="Footer Char"/>
    <w:basedOn w:val="DefaultParagraphFont"/>
    <w:link w:val="Footer"/>
    <w:uiPriority w:val="99"/>
    <w:rsid w:val="00C55E97"/>
    <w:rPr>
      <w:rFonts w:ascii="Times New Roman" w:eastAsia="Calibri" w:hAnsi="Times New Roman" w:cs="Times New Roman (Body CS)"/>
      <w:kern w:val="2"/>
      <w:sz w:val="24"/>
      <w:szCs w:val="24"/>
    </w:rPr>
  </w:style>
  <w:style w:type="paragraph" w:styleId="z-TopofForm">
    <w:name w:val="HTML Top of Form"/>
    <w:basedOn w:val="Normal"/>
    <w:next w:val="Normal"/>
    <w:link w:val="z-TopofFormChar"/>
    <w:hidden/>
    <w:uiPriority w:val="99"/>
    <w:semiHidden/>
    <w:unhideWhenUsed/>
    <w:rsid w:val="00C55E97"/>
    <w:pPr>
      <w:pBdr>
        <w:bottom w:val="single" w:sz="6" w:space="1" w:color="auto"/>
      </w:pBdr>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C55E9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C5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E97"/>
    <w:rPr>
      <w:rFonts w:ascii="Segoe UI" w:eastAsia="Calibri" w:hAnsi="Segoe UI" w:cs="Segoe UI"/>
      <w:kern w:val="2"/>
      <w:sz w:val="18"/>
      <w:szCs w:val="18"/>
    </w:rPr>
  </w:style>
  <w:style w:type="paragraph" w:styleId="Revision">
    <w:name w:val="Revision"/>
    <w:hidden/>
    <w:uiPriority w:val="99"/>
    <w:semiHidden/>
    <w:rsid w:val="00C55E97"/>
    <w:pPr>
      <w:spacing w:after="0" w:line="240" w:lineRule="auto"/>
    </w:pPr>
    <w:rPr>
      <w:rFonts w:ascii="Times New Roman" w:eastAsia="Calibri" w:hAnsi="Times New Roman" w:cs="Times New Roman (Body CS)"/>
      <w:kern w:val="2"/>
      <w:sz w:val="24"/>
      <w:szCs w:val="24"/>
    </w:rPr>
  </w:style>
  <w:style w:type="character" w:styleId="Emphasis">
    <w:name w:val="Emphasis"/>
    <w:basedOn w:val="DefaultParagraphFont"/>
    <w:uiPriority w:val="20"/>
    <w:qFormat/>
    <w:rsid w:val="00C55E97"/>
    <w:rPr>
      <w:i/>
      <w:iCs/>
    </w:rPr>
  </w:style>
  <w:style w:type="paragraph" w:styleId="BodyText">
    <w:name w:val="Body Text"/>
    <w:basedOn w:val="Normal"/>
    <w:link w:val="BodyTextChar"/>
    <w:uiPriority w:val="1"/>
    <w:qFormat/>
    <w:rsid w:val="00C55E97"/>
    <w:pPr>
      <w:widowControl w:val="0"/>
      <w:autoSpaceDE w:val="0"/>
      <w:autoSpaceDN w:val="0"/>
    </w:pPr>
    <w:rPr>
      <w:rFonts w:eastAsia="Times New Roman" w:cs="Times New Roman"/>
      <w:kern w:val="0"/>
      <w:sz w:val="18"/>
      <w:szCs w:val="18"/>
      <w:lang w:bidi="en-US"/>
    </w:rPr>
  </w:style>
  <w:style w:type="character" w:customStyle="1" w:styleId="BodyTextChar">
    <w:name w:val="Body Text Char"/>
    <w:basedOn w:val="DefaultParagraphFont"/>
    <w:link w:val="BodyText"/>
    <w:uiPriority w:val="1"/>
    <w:rsid w:val="00C55E97"/>
    <w:rPr>
      <w:rFonts w:ascii="Times New Roman" w:eastAsia="Times New Roman"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136794">
      <w:bodyDiv w:val="1"/>
      <w:marLeft w:val="0"/>
      <w:marRight w:val="0"/>
      <w:marTop w:val="0"/>
      <w:marBottom w:val="0"/>
      <w:divBdr>
        <w:top w:val="none" w:sz="0" w:space="0" w:color="auto"/>
        <w:left w:val="none" w:sz="0" w:space="0" w:color="auto"/>
        <w:bottom w:val="none" w:sz="0" w:space="0" w:color="auto"/>
        <w:right w:val="none" w:sz="0" w:space="0" w:color="auto"/>
      </w:divBdr>
    </w:div>
    <w:div w:id="1520894444">
      <w:bodyDiv w:val="1"/>
      <w:marLeft w:val="0"/>
      <w:marRight w:val="0"/>
      <w:marTop w:val="0"/>
      <w:marBottom w:val="0"/>
      <w:divBdr>
        <w:top w:val="none" w:sz="0" w:space="0" w:color="auto"/>
        <w:left w:val="none" w:sz="0" w:space="0" w:color="auto"/>
        <w:bottom w:val="none" w:sz="0" w:space="0" w:color="auto"/>
        <w:right w:val="none" w:sz="0" w:space="0" w:color="auto"/>
      </w:divBdr>
    </w:div>
    <w:div w:id="1563515982">
      <w:bodyDiv w:val="1"/>
      <w:marLeft w:val="0"/>
      <w:marRight w:val="0"/>
      <w:marTop w:val="0"/>
      <w:marBottom w:val="0"/>
      <w:divBdr>
        <w:top w:val="none" w:sz="0" w:space="0" w:color="auto"/>
        <w:left w:val="none" w:sz="0" w:space="0" w:color="auto"/>
        <w:bottom w:val="none" w:sz="0" w:space="0" w:color="auto"/>
        <w:right w:val="none" w:sz="0" w:space="0" w:color="auto"/>
      </w:divBdr>
    </w:div>
    <w:div w:id="21106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pubmed.ncbi.nlm.nih.gov/37260945/" TargetMode="External"/><Relationship Id="rId26" Type="http://schemas.openxmlformats.org/officeDocument/2006/relationships/hyperlink" Target="https://pubmed.ncbi.nlm.nih.gov/2803071/" TargetMode="External"/><Relationship Id="rId39" Type="http://schemas.openxmlformats.org/officeDocument/2006/relationships/hyperlink" Target="https://pubmed.ncbi.nlm.nih.gov/32970495/" TargetMode="External"/><Relationship Id="rId21" Type="http://schemas.openxmlformats.org/officeDocument/2006/relationships/hyperlink" Target="https://pubmed.ncbi.nlm.nih.gov/35708703/" TargetMode="External"/><Relationship Id="rId34" Type="http://schemas.openxmlformats.org/officeDocument/2006/relationships/hyperlink" Target="https://pubmed.ncbi.nlm.nih.gov/2760718/" TargetMode="External"/><Relationship Id="rId42" Type="http://schemas.openxmlformats.org/officeDocument/2006/relationships/hyperlink" Target="https://pubmed.ncbi.nlm.nih.gov/33713961/"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pubmed.ncbi.nlm.nih.gov/35971425/" TargetMode="External"/><Relationship Id="rId29" Type="http://schemas.openxmlformats.org/officeDocument/2006/relationships/hyperlink" Target="https://pubmed.ncbi.nlm.nih.gov/30827125/" TargetMode="External"/><Relationship Id="rId11" Type="http://schemas.openxmlformats.org/officeDocument/2006/relationships/image" Target="media/image5.jpeg"/><Relationship Id="rId24" Type="http://schemas.openxmlformats.org/officeDocument/2006/relationships/hyperlink" Target="https://pubmed.ncbi.nlm.nih.gov/37864346/" TargetMode="External"/><Relationship Id="rId32" Type="http://schemas.openxmlformats.org/officeDocument/2006/relationships/hyperlink" Target="https://pubmed.ncbi.nlm.nih.gov/15716690/" TargetMode="External"/><Relationship Id="rId37" Type="http://schemas.openxmlformats.org/officeDocument/2006/relationships/hyperlink" Target="https://pubmed.ncbi.nlm.nih.gov/36056725/" TargetMode="External"/><Relationship Id="rId40" Type="http://schemas.openxmlformats.org/officeDocument/2006/relationships/hyperlink" Target="https://pubmed.ncbi.nlm.nih.gov/35233035/" TargetMode="External"/><Relationship Id="rId45" Type="http://schemas.openxmlformats.org/officeDocument/2006/relationships/hyperlink" Target="https://pubmed.ncbi.nlm.nih.gov/34973396/"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19" Type="http://schemas.openxmlformats.org/officeDocument/2006/relationships/hyperlink" Target="https://pubmed.ncbi.nlm.nih.gov/31386134/" TargetMode="External"/><Relationship Id="rId31" Type="http://schemas.openxmlformats.org/officeDocument/2006/relationships/hyperlink" Target="https://pubmed.ncbi.nlm.nih.gov/17885548/" TargetMode="External"/><Relationship Id="rId44" Type="http://schemas.openxmlformats.org/officeDocument/2006/relationships/hyperlink" Target="https://pubmed.ncbi.nlm.nih.gov/36948378/"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ubmed.ncbi.nlm.nih.gov/32352535/" TargetMode="External"/><Relationship Id="rId22" Type="http://schemas.openxmlformats.org/officeDocument/2006/relationships/hyperlink" Target="https://pubmed.ncbi.nlm.nih.gov/36006055/" TargetMode="External"/><Relationship Id="rId27" Type="http://schemas.openxmlformats.org/officeDocument/2006/relationships/hyperlink" Target="https://pubmed.ncbi.nlm.nih.gov/12198340/" TargetMode="External"/><Relationship Id="rId30" Type="http://schemas.openxmlformats.org/officeDocument/2006/relationships/hyperlink" Target="https://pubmed.ncbi.nlm.nih.gov/37955827/" TargetMode="External"/><Relationship Id="rId35" Type="http://schemas.openxmlformats.org/officeDocument/2006/relationships/hyperlink" Target="https://pubmed.ncbi.nlm.nih.gov/29797021/" TargetMode="External"/><Relationship Id="rId43" Type="http://schemas.openxmlformats.org/officeDocument/2006/relationships/hyperlink" Target="https://onlinelibrary.wiley.com/doi/epdf/10.1002/art.11405" TargetMode="External"/><Relationship Id="rId48" Type="http://schemas.openxmlformats.org/officeDocument/2006/relationships/header" Target="header2.xml"/><Relationship Id="rId8" Type="http://schemas.openxmlformats.org/officeDocument/2006/relationships/image" Target="media/image2.jpeg"/><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pubmed.ncbi.nlm.nih.gov/34889662/" TargetMode="External"/><Relationship Id="rId25" Type="http://schemas.openxmlformats.org/officeDocument/2006/relationships/hyperlink" Target="https://pubmed.ncbi.nlm.nih.gov/37602375/" TargetMode="External"/><Relationship Id="rId33" Type="http://schemas.openxmlformats.org/officeDocument/2006/relationships/hyperlink" Target="https://pubmed.ncbi.nlm.nih.gov/29051214/" TargetMode="External"/><Relationship Id="rId38" Type="http://schemas.openxmlformats.org/officeDocument/2006/relationships/hyperlink" Target="https://pubmed.ncbi.nlm.nih.gov/32584797/" TargetMode="External"/><Relationship Id="rId46" Type="http://schemas.openxmlformats.org/officeDocument/2006/relationships/hyperlink" Target="https://pubmed.ncbi.nlm.nih.gov/36032234/" TargetMode="External"/><Relationship Id="rId20" Type="http://schemas.openxmlformats.org/officeDocument/2006/relationships/hyperlink" Target="https://pubmed.ncbi.nlm.nih.gov/32646277/" TargetMode="External"/><Relationship Id="rId41" Type="http://schemas.openxmlformats.org/officeDocument/2006/relationships/hyperlink" Target="https://pubmed.ncbi.nlm.nih.gov/340275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med.ncbi.nlm.nih.gov/35234824/" TargetMode="External"/><Relationship Id="rId23" Type="http://schemas.openxmlformats.org/officeDocument/2006/relationships/hyperlink" Target="https://pubmed.ncbi.nlm.nih.gov/33876965/" TargetMode="External"/><Relationship Id="rId28" Type="http://schemas.openxmlformats.org/officeDocument/2006/relationships/hyperlink" Target="https://pubmed.ncbi.nlm.nih.gov/36621637/" TargetMode="External"/><Relationship Id="rId36" Type="http://schemas.openxmlformats.org/officeDocument/2006/relationships/hyperlink" Target="https://pubmed.ncbi.nlm.nih.gov/28483919/"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1449</TotalTime>
  <Pages>11</Pages>
  <Words>5041</Words>
  <Characters>28737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Manasa Janammagari</cp:lastModifiedBy>
  <cp:revision>489</cp:revision>
  <dcterms:created xsi:type="dcterms:W3CDTF">2024-12-09T06:16:00Z</dcterms:created>
  <dcterms:modified xsi:type="dcterms:W3CDTF">2025-03-23T13:43:00Z</dcterms:modified>
</cp:coreProperties>
</file>