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6E970" w14:textId="54D65BF4" w:rsidR="00F971DE" w:rsidRPr="0002479C" w:rsidRDefault="00F971DE" w:rsidP="00C13AC2">
      <w:pPr>
        <w:contextualSpacing/>
        <w:mirrorIndents/>
        <w:jc w:val="both"/>
        <w:rPr>
          <w:b/>
          <w:sz w:val="22"/>
          <w:szCs w:val="22"/>
        </w:rPr>
      </w:pPr>
      <w:r w:rsidRPr="0002479C">
        <w:rPr>
          <w:b/>
          <w:sz w:val="22"/>
          <w:szCs w:val="22"/>
        </w:rPr>
        <w:t xml:space="preserve">Case </w:t>
      </w:r>
      <w:r w:rsidR="00100210" w:rsidRPr="0002479C">
        <w:rPr>
          <w:b/>
          <w:sz w:val="22"/>
          <w:szCs w:val="22"/>
        </w:rPr>
        <w:t>Report</w:t>
      </w:r>
    </w:p>
    <w:p w14:paraId="0A763F37" w14:textId="77777777" w:rsidR="00F971DE" w:rsidRPr="00C13AC2" w:rsidRDefault="00F971DE" w:rsidP="00C13AC2">
      <w:pPr>
        <w:contextualSpacing/>
        <w:mirrorIndents/>
        <w:jc w:val="both"/>
        <w:rPr>
          <w:sz w:val="20"/>
          <w:szCs w:val="20"/>
        </w:rPr>
      </w:pPr>
    </w:p>
    <w:p w14:paraId="7563C611" w14:textId="4FCF6A2A" w:rsidR="00F971DE" w:rsidRPr="007C792E" w:rsidRDefault="00100210" w:rsidP="007C792E">
      <w:pPr>
        <w:contextualSpacing/>
        <w:mirrorIndents/>
        <w:jc w:val="center"/>
        <w:rPr>
          <w:b/>
          <w:sz w:val="30"/>
          <w:szCs w:val="30"/>
        </w:rPr>
      </w:pPr>
      <w:r w:rsidRPr="007C792E">
        <w:rPr>
          <w:b/>
          <w:sz w:val="30"/>
          <w:szCs w:val="30"/>
        </w:rPr>
        <w:t>Sodium-Glucose Cotransporter-2 (Sglt-2) Inhibitors: Pharmacodynamic Profile Case Reviews</w:t>
      </w:r>
    </w:p>
    <w:p w14:paraId="0FB27702" w14:textId="77777777" w:rsidR="00F971DE" w:rsidRPr="00C13AC2" w:rsidRDefault="00F971DE" w:rsidP="00C13AC2">
      <w:pPr>
        <w:contextualSpacing/>
        <w:mirrorIndents/>
        <w:jc w:val="both"/>
        <w:rPr>
          <w:sz w:val="20"/>
          <w:szCs w:val="20"/>
        </w:rPr>
      </w:pPr>
    </w:p>
    <w:p w14:paraId="4C8C52E1" w14:textId="13B3D649" w:rsidR="00F971DE" w:rsidRPr="00C623ED" w:rsidRDefault="00270AB4" w:rsidP="00C13AC2">
      <w:pPr>
        <w:contextualSpacing/>
        <w:mirrorIndents/>
        <w:jc w:val="both"/>
        <w:rPr>
          <w:b/>
          <w:sz w:val="22"/>
          <w:szCs w:val="22"/>
        </w:rPr>
      </w:pPr>
      <w:r w:rsidRPr="00C623ED">
        <w:rPr>
          <w:b/>
          <w:sz w:val="22"/>
          <w:szCs w:val="22"/>
        </w:rPr>
        <w:t>Vishal Dalal, PA-C</w:t>
      </w:r>
      <w:r w:rsidR="00E64052" w:rsidRPr="00C623ED">
        <w:rPr>
          <w:b/>
          <w:color w:val="FF0000"/>
          <w:sz w:val="22"/>
          <w:szCs w:val="22"/>
          <w:vertAlign w:val="superscript"/>
        </w:rPr>
        <w:t>1</w:t>
      </w:r>
      <w:r w:rsidR="0093074F" w:rsidRPr="00C623ED">
        <w:rPr>
          <w:b/>
          <w:color w:val="FF0000"/>
          <w:sz w:val="22"/>
          <w:szCs w:val="22"/>
          <w:vertAlign w:val="superscript"/>
        </w:rPr>
        <w:t>,2</w:t>
      </w:r>
      <w:r w:rsidR="00F971DE" w:rsidRPr="00C623ED">
        <w:rPr>
          <w:b/>
          <w:sz w:val="22"/>
          <w:szCs w:val="22"/>
        </w:rPr>
        <w:t xml:space="preserve">, </w:t>
      </w:r>
      <w:r w:rsidR="009C46FA" w:rsidRPr="00C623ED">
        <w:rPr>
          <w:b/>
          <w:sz w:val="22"/>
          <w:szCs w:val="22"/>
        </w:rPr>
        <w:t>Rocco Panico, PA-C</w:t>
      </w:r>
      <w:r w:rsidR="00FD48D9" w:rsidRPr="00C623ED">
        <w:rPr>
          <w:b/>
          <w:color w:val="FF0000"/>
          <w:sz w:val="22"/>
          <w:szCs w:val="22"/>
          <w:vertAlign w:val="superscript"/>
        </w:rPr>
        <w:t>1</w:t>
      </w:r>
      <w:r w:rsidR="00B232AF" w:rsidRPr="00C623ED">
        <w:rPr>
          <w:b/>
          <w:sz w:val="22"/>
          <w:szCs w:val="22"/>
        </w:rPr>
        <w:t xml:space="preserve">, </w:t>
      </w:r>
      <w:r w:rsidR="008E6E08" w:rsidRPr="00C623ED">
        <w:rPr>
          <w:b/>
          <w:sz w:val="22"/>
          <w:szCs w:val="22"/>
        </w:rPr>
        <w:t>Emily Mignogni, PharmD</w:t>
      </w:r>
      <w:r w:rsidR="00E2404D" w:rsidRPr="00C623ED">
        <w:rPr>
          <w:b/>
          <w:color w:val="FF0000"/>
          <w:sz w:val="22"/>
          <w:szCs w:val="22"/>
          <w:vertAlign w:val="superscript"/>
        </w:rPr>
        <w:t>1</w:t>
      </w:r>
      <w:r w:rsidR="00F12B51" w:rsidRPr="00C623ED">
        <w:rPr>
          <w:b/>
          <w:color w:val="FF0000"/>
          <w:sz w:val="22"/>
          <w:szCs w:val="22"/>
          <w:vertAlign w:val="superscript"/>
        </w:rPr>
        <w:t>,3</w:t>
      </w:r>
      <w:r w:rsidR="001C268E" w:rsidRPr="00C623ED">
        <w:rPr>
          <w:b/>
          <w:sz w:val="22"/>
          <w:szCs w:val="22"/>
        </w:rPr>
        <w:t xml:space="preserve">, </w:t>
      </w:r>
      <w:r w:rsidR="00987246" w:rsidRPr="00C623ED">
        <w:rPr>
          <w:b/>
          <w:sz w:val="22"/>
          <w:szCs w:val="22"/>
        </w:rPr>
        <w:t>Michael B. Rodricks, MD</w:t>
      </w:r>
      <w:r w:rsidR="00AE29C6" w:rsidRPr="00C623ED">
        <w:rPr>
          <w:b/>
          <w:color w:val="FF0000"/>
          <w:sz w:val="22"/>
          <w:szCs w:val="22"/>
          <w:vertAlign w:val="superscript"/>
        </w:rPr>
        <w:t>1,</w:t>
      </w:r>
      <w:r w:rsidR="00E64052" w:rsidRPr="00C623ED">
        <w:rPr>
          <w:b/>
          <w:color w:val="FF0000"/>
          <w:sz w:val="22"/>
          <w:szCs w:val="22"/>
          <w:vertAlign w:val="superscript"/>
        </w:rPr>
        <w:t>4</w:t>
      </w:r>
    </w:p>
    <w:p w14:paraId="3E5462B2" w14:textId="77777777" w:rsidR="00F971DE" w:rsidRPr="00C13AC2" w:rsidRDefault="00F971DE" w:rsidP="00C13AC2">
      <w:pPr>
        <w:contextualSpacing/>
        <w:mirrorIndents/>
        <w:jc w:val="both"/>
        <w:rPr>
          <w:sz w:val="20"/>
          <w:szCs w:val="20"/>
        </w:rPr>
      </w:pPr>
    </w:p>
    <w:p w14:paraId="3CC3204A" w14:textId="2C5429BB" w:rsidR="009D45AB" w:rsidRPr="00C13AC2" w:rsidRDefault="00055B14" w:rsidP="00C13AC2">
      <w:pPr>
        <w:contextualSpacing/>
        <w:mirrorIndents/>
        <w:jc w:val="both"/>
        <w:rPr>
          <w:sz w:val="20"/>
          <w:szCs w:val="20"/>
        </w:rPr>
      </w:pPr>
      <w:r w:rsidRPr="00C13AC2">
        <w:rPr>
          <w:color w:val="FF0000"/>
          <w:sz w:val="20"/>
          <w:szCs w:val="20"/>
          <w:vertAlign w:val="superscript"/>
        </w:rPr>
        <w:t>1</w:t>
      </w:r>
      <w:r w:rsidR="0049173F" w:rsidRPr="00C13AC2">
        <w:rPr>
          <w:sz w:val="20"/>
          <w:szCs w:val="20"/>
        </w:rPr>
        <w:t>Department of Critical Care</w:t>
      </w:r>
      <w:r w:rsidR="0049173F" w:rsidRPr="00C13AC2">
        <w:rPr>
          <w:sz w:val="20"/>
          <w:szCs w:val="20"/>
        </w:rPr>
        <w:t xml:space="preserve">, </w:t>
      </w:r>
      <w:r w:rsidR="009D45AB" w:rsidRPr="00C13AC2">
        <w:rPr>
          <w:sz w:val="20"/>
          <w:szCs w:val="20"/>
        </w:rPr>
        <w:t>Robert Wood Johnson University Hospital Somerset</w:t>
      </w:r>
      <w:r w:rsidR="00714638" w:rsidRPr="00C13AC2">
        <w:rPr>
          <w:sz w:val="20"/>
          <w:szCs w:val="20"/>
        </w:rPr>
        <w:t xml:space="preserve">, </w:t>
      </w:r>
      <w:r w:rsidR="00571455" w:rsidRPr="00C13AC2">
        <w:rPr>
          <w:sz w:val="20"/>
          <w:szCs w:val="20"/>
        </w:rPr>
        <w:t>New Jersey</w:t>
      </w:r>
      <w:r w:rsidR="00E25443" w:rsidRPr="00C13AC2">
        <w:rPr>
          <w:sz w:val="20"/>
          <w:szCs w:val="20"/>
        </w:rPr>
        <w:t>, USA</w:t>
      </w:r>
    </w:p>
    <w:p w14:paraId="04CE99DB" w14:textId="392B24D0" w:rsidR="00BB537F" w:rsidRPr="00C13AC2" w:rsidRDefault="0046109B" w:rsidP="00C13AC2">
      <w:pPr>
        <w:contextualSpacing/>
        <w:mirrorIndents/>
        <w:jc w:val="both"/>
        <w:rPr>
          <w:color w:val="000000"/>
          <w:sz w:val="20"/>
          <w:szCs w:val="20"/>
        </w:rPr>
      </w:pPr>
      <w:r w:rsidRPr="00C13AC2">
        <w:rPr>
          <w:color w:val="FF0000"/>
          <w:sz w:val="20"/>
          <w:szCs w:val="20"/>
          <w:vertAlign w:val="superscript"/>
        </w:rPr>
        <w:t>2</w:t>
      </w:r>
      <w:r w:rsidR="00BB537F" w:rsidRPr="00C13AC2">
        <w:rPr>
          <w:sz w:val="20"/>
          <w:szCs w:val="20"/>
        </w:rPr>
        <w:t>Rutgers Biomedical and Health Sciences</w:t>
      </w:r>
      <w:r w:rsidRPr="00C13AC2">
        <w:rPr>
          <w:sz w:val="20"/>
          <w:szCs w:val="20"/>
        </w:rPr>
        <w:t>, Department of Physician Assistant Studies and Practice</w:t>
      </w:r>
      <w:r w:rsidR="00C40837" w:rsidRPr="00C13AC2">
        <w:rPr>
          <w:sz w:val="20"/>
          <w:szCs w:val="20"/>
        </w:rPr>
        <w:t xml:space="preserve">, </w:t>
      </w:r>
      <w:r w:rsidR="00596F7A" w:rsidRPr="00C13AC2">
        <w:rPr>
          <w:sz w:val="20"/>
          <w:szCs w:val="20"/>
        </w:rPr>
        <w:t>New Jersey</w:t>
      </w:r>
      <w:r w:rsidR="00D34F32" w:rsidRPr="00C13AC2">
        <w:rPr>
          <w:color w:val="000000"/>
          <w:sz w:val="20"/>
          <w:szCs w:val="20"/>
        </w:rPr>
        <w:t>, USA</w:t>
      </w:r>
    </w:p>
    <w:p w14:paraId="485D8C41" w14:textId="16C147A5" w:rsidR="0049173F" w:rsidRPr="00C13AC2" w:rsidRDefault="005B1620" w:rsidP="00C13AC2">
      <w:pPr>
        <w:contextualSpacing/>
        <w:mirrorIndents/>
        <w:jc w:val="both"/>
        <w:rPr>
          <w:sz w:val="20"/>
          <w:szCs w:val="20"/>
        </w:rPr>
      </w:pPr>
      <w:r w:rsidRPr="00C13AC2">
        <w:rPr>
          <w:color w:val="FF0000"/>
          <w:sz w:val="20"/>
          <w:szCs w:val="20"/>
          <w:vertAlign w:val="superscript"/>
        </w:rPr>
        <w:t>3</w:t>
      </w:r>
      <w:r w:rsidR="009165A3" w:rsidRPr="00C13AC2">
        <w:rPr>
          <w:sz w:val="20"/>
          <w:szCs w:val="20"/>
        </w:rPr>
        <w:t>Oncology Specialty Clinical Pharmacist</w:t>
      </w:r>
      <w:r w:rsidR="009165A3" w:rsidRPr="00C13AC2">
        <w:rPr>
          <w:sz w:val="20"/>
          <w:szCs w:val="20"/>
        </w:rPr>
        <w:t xml:space="preserve">, </w:t>
      </w:r>
      <w:r w:rsidR="009165A3" w:rsidRPr="00C13AC2">
        <w:rPr>
          <w:sz w:val="20"/>
          <w:szCs w:val="20"/>
        </w:rPr>
        <w:t>Summit Health</w:t>
      </w:r>
      <w:r w:rsidR="00892AC4" w:rsidRPr="00C13AC2">
        <w:rPr>
          <w:sz w:val="20"/>
          <w:szCs w:val="20"/>
        </w:rPr>
        <w:t xml:space="preserve">, </w:t>
      </w:r>
      <w:r w:rsidR="00AB0AF8" w:rsidRPr="00C13AC2">
        <w:rPr>
          <w:sz w:val="20"/>
          <w:szCs w:val="20"/>
        </w:rPr>
        <w:t>New Jersey</w:t>
      </w:r>
      <w:r w:rsidR="002B4BD1" w:rsidRPr="00C13AC2">
        <w:rPr>
          <w:sz w:val="20"/>
          <w:szCs w:val="20"/>
        </w:rPr>
        <w:t>, USA</w:t>
      </w:r>
    </w:p>
    <w:p w14:paraId="400D48DF" w14:textId="4BACA637" w:rsidR="002B4BD1" w:rsidRPr="00C13AC2" w:rsidRDefault="006330AB" w:rsidP="00C13AC2">
      <w:pPr>
        <w:contextualSpacing/>
        <w:mirrorIndents/>
        <w:jc w:val="both"/>
        <w:rPr>
          <w:sz w:val="20"/>
          <w:szCs w:val="20"/>
        </w:rPr>
      </w:pPr>
      <w:r w:rsidRPr="00C13AC2">
        <w:rPr>
          <w:color w:val="FF0000"/>
          <w:sz w:val="20"/>
          <w:szCs w:val="20"/>
          <w:vertAlign w:val="superscript"/>
        </w:rPr>
        <w:t>4</w:t>
      </w:r>
      <w:r w:rsidR="00197EAF" w:rsidRPr="00C13AC2">
        <w:rPr>
          <w:sz w:val="20"/>
          <w:szCs w:val="20"/>
        </w:rPr>
        <w:t>Acute Care Surgery</w:t>
      </w:r>
      <w:r w:rsidR="00197EAF" w:rsidRPr="00C13AC2">
        <w:rPr>
          <w:sz w:val="20"/>
          <w:szCs w:val="20"/>
        </w:rPr>
        <w:t xml:space="preserve">, </w:t>
      </w:r>
      <w:r w:rsidR="007C4BD3" w:rsidRPr="00C13AC2">
        <w:rPr>
          <w:sz w:val="20"/>
          <w:szCs w:val="20"/>
        </w:rPr>
        <w:t>Rutgers Robert Wood Johnson Medical School</w:t>
      </w:r>
      <w:r w:rsidR="00766809" w:rsidRPr="00C13AC2">
        <w:rPr>
          <w:sz w:val="20"/>
          <w:szCs w:val="20"/>
        </w:rPr>
        <w:t xml:space="preserve">, </w:t>
      </w:r>
      <w:r w:rsidR="001C0E55" w:rsidRPr="00C13AC2">
        <w:rPr>
          <w:sz w:val="20"/>
          <w:szCs w:val="20"/>
        </w:rPr>
        <w:t>New Jersey</w:t>
      </w:r>
      <w:r w:rsidR="004424D3" w:rsidRPr="00C13AC2">
        <w:rPr>
          <w:sz w:val="20"/>
          <w:szCs w:val="20"/>
        </w:rPr>
        <w:t>, USA</w:t>
      </w:r>
    </w:p>
    <w:p w14:paraId="507A815E" w14:textId="77777777" w:rsidR="004424D3" w:rsidRPr="00C13AC2" w:rsidRDefault="004424D3" w:rsidP="00C13AC2">
      <w:pPr>
        <w:contextualSpacing/>
        <w:mirrorIndents/>
        <w:jc w:val="both"/>
        <w:rPr>
          <w:sz w:val="20"/>
          <w:szCs w:val="20"/>
        </w:rPr>
      </w:pPr>
    </w:p>
    <w:p w14:paraId="2775C4ED" w14:textId="00A89C2B" w:rsidR="00BF63CD" w:rsidRDefault="00F971DE" w:rsidP="00C13AC2">
      <w:pPr>
        <w:pStyle w:val="NormalWeb"/>
        <w:spacing w:before="0" w:beforeAutospacing="0" w:after="0" w:afterAutospacing="0"/>
        <w:contextualSpacing/>
        <w:mirrorIndents/>
        <w:jc w:val="both"/>
        <w:rPr>
          <w:sz w:val="20"/>
          <w:szCs w:val="20"/>
        </w:rPr>
      </w:pPr>
      <w:r w:rsidRPr="00C13AC2">
        <w:rPr>
          <w:b/>
          <w:color w:val="FF0000"/>
          <w:sz w:val="20"/>
          <w:szCs w:val="20"/>
          <w:vertAlign w:val="superscript"/>
        </w:rPr>
        <w:t>#</w:t>
      </w:r>
      <w:r w:rsidRPr="00C13AC2">
        <w:rPr>
          <w:b/>
          <w:sz w:val="20"/>
          <w:szCs w:val="20"/>
        </w:rPr>
        <w:t>Corresponding author:</w:t>
      </w:r>
      <w:r w:rsidRPr="00C13AC2">
        <w:rPr>
          <w:sz w:val="20"/>
          <w:szCs w:val="20"/>
        </w:rPr>
        <w:t xml:space="preserve"> </w:t>
      </w:r>
      <w:r w:rsidR="00BF63CD" w:rsidRPr="00C13AC2">
        <w:rPr>
          <w:sz w:val="20"/>
          <w:szCs w:val="20"/>
        </w:rPr>
        <w:t xml:space="preserve">Vishal Dalal, PA-C, </w:t>
      </w:r>
      <w:r w:rsidR="00847430" w:rsidRPr="00C13AC2">
        <w:rPr>
          <w:sz w:val="20"/>
          <w:szCs w:val="20"/>
        </w:rPr>
        <w:t>Physician Assistant</w:t>
      </w:r>
      <w:r w:rsidR="000069D5" w:rsidRPr="00C13AC2">
        <w:rPr>
          <w:sz w:val="20"/>
          <w:szCs w:val="20"/>
        </w:rPr>
        <w:t xml:space="preserve">, </w:t>
      </w:r>
      <w:r w:rsidR="000069D5" w:rsidRPr="00C13AC2">
        <w:rPr>
          <w:sz w:val="20"/>
          <w:szCs w:val="20"/>
        </w:rPr>
        <w:t>Departmen</w:t>
      </w:r>
      <w:r w:rsidR="000069D5" w:rsidRPr="00C13AC2">
        <w:rPr>
          <w:sz w:val="20"/>
          <w:szCs w:val="20"/>
        </w:rPr>
        <w:t xml:space="preserve">t of Critical Care, </w:t>
      </w:r>
      <w:r w:rsidR="00847430" w:rsidRPr="00C13AC2">
        <w:rPr>
          <w:sz w:val="20"/>
          <w:szCs w:val="20"/>
        </w:rPr>
        <w:t>Robert Wood Johnson University Hospital Somerset</w:t>
      </w:r>
      <w:r w:rsidR="001A2C09" w:rsidRPr="00C13AC2">
        <w:rPr>
          <w:sz w:val="20"/>
          <w:szCs w:val="20"/>
        </w:rPr>
        <w:t xml:space="preserve">, </w:t>
      </w:r>
      <w:r w:rsidR="00847430" w:rsidRPr="00C13AC2">
        <w:rPr>
          <w:sz w:val="20"/>
          <w:szCs w:val="20"/>
        </w:rPr>
        <w:t>110 Rehill Avenue</w:t>
      </w:r>
      <w:r w:rsidR="0016011C" w:rsidRPr="00C13AC2">
        <w:rPr>
          <w:sz w:val="20"/>
          <w:szCs w:val="20"/>
        </w:rPr>
        <w:t xml:space="preserve">, </w:t>
      </w:r>
      <w:r w:rsidR="00847430" w:rsidRPr="00C13AC2">
        <w:rPr>
          <w:sz w:val="20"/>
          <w:szCs w:val="20"/>
        </w:rPr>
        <w:t xml:space="preserve">Somerville, </w:t>
      </w:r>
      <w:r w:rsidR="00C13AC2" w:rsidRPr="00C13AC2">
        <w:rPr>
          <w:sz w:val="20"/>
          <w:szCs w:val="20"/>
        </w:rPr>
        <w:t>New Jersey</w:t>
      </w:r>
      <w:r w:rsidR="00C13AC2" w:rsidRPr="00C13AC2">
        <w:rPr>
          <w:sz w:val="20"/>
          <w:szCs w:val="20"/>
        </w:rPr>
        <w:t xml:space="preserve"> </w:t>
      </w:r>
      <w:r w:rsidR="00847430" w:rsidRPr="00C13AC2">
        <w:rPr>
          <w:sz w:val="20"/>
          <w:szCs w:val="20"/>
        </w:rPr>
        <w:t>08876</w:t>
      </w:r>
      <w:r w:rsidR="00C13AC2" w:rsidRPr="00C13AC2">
        <w:rPr>
          <w:sz w:val="20"/>
          <w:szCs w:val="20"/>
        </w:rPr>
        <w:t>, USA</w:t>
      </w:r>
    </w:p>
    <w:p w14:paraId="5F7BD448" w14:textId="77777777" w:rsidR="00C13AC2" w:rsidRPr="00C13AC2" w:rsidRDefault="00C13AC2" w:rsidP="00C13AC2">
      <w:pPr>
        <w:pStyle w:val="NormalWeb"/>
        <w:spacing w:before="0" w:beforeAutospacing="0" w:after="0" w:afterAutospacing="0"/>
        <w:contextualSpacing/>
        <w:mirrorIndents/>
        <w:jc w:val="both"/>
        <w:rPr>
          <w:sz w:val="20"/>
          <w:szCs w:val="20"/>
        </w:rPr>
      </w:pPr>
    </w:p>
    <w:p w14:paraId="7D0F885E" w14:textId="01177C9A" w:rsidR="00F971DE" w:rsidRPr="00C13AC2" w:rsidRDefault="00F971DE" w:rsidP="00C13AC2">
      <w:pPr>
        <w:contextualSpacing/>
        <w:mirrorIndents/>
        <w:jc w:val="both"/>
        <w:rPr>
          <w:sz w:val="20"/>
          <w:szCs w:val="20"/>
        </w:rPr>
      </w:pPr>
      <w:r w:rsidRPr="00C13AC2">
        <w:rPr>
          <w:b/>
          <w:sz w:val="20"/>
          <w:szCs w:val="20"/>
        </w:rPr>
        <w:t>How to cite this article:</w:t>
      </w:r>
      <w:r w:rsidRPr="00C13AC2">
        <w:rPr>
          <w:sz w:val="20"/>
          <w:szCs w:val="20"/>
        </w:rPr>
        <w:t xml:space="preserve"> </w:t>
      </w:r>
      <w:r w:rsidR="005D32A5" w:rsidRPr="00C13AC2">
        <w:rPr>
          <w:sz w:val="20"/>
          <w:szCs w:val="20"/>
        </w:rPr>
        <w:t xml:space="preserve">Dalal V, et al. </w:t>
      </w:r>
      <w:r w:rsidRPr="00C13AC2">
        <w:rPr>
          <w:sz w:val="20"/>
          <w:szCs w:val="20"/>
        </w:rPr>
        <w:t>(202</w:t>
      </w:r>
      <w:r w:rsidR="0031631E" w:rsidRPr="00C13AC2">
        <w:rPr>
          <w:sz w:val="20"/>
          <w:szCs w:val="20"/>
        </w:rPr>
        <w:t>3</w:t>
      </w:r>
      <w:r w:rsidRPr="00C13AC2">
        <w:rPr>
          <w:sz w:val="20"/>
          <w:szCs w:val="20"/>
        </w:rPr>
        <w:t xml:space="preserve">) </w:t>
      </w:r>
      <w:r w:rsidR="004205B4" w:rsidRPr="00C13AC2">
        <w:rPr>
          <w:sz w:val="20"/>
          <w:szCs w:val="20"/>
        </w:rPr>
        <w:t>Sodium-Glucose Cotra</w:t>
      </w:r>
      <w:r w:rsidR="00CB6266" w:rsidRPr="00C13AC2">
        <w:rPr>
          <w:sz w:val="20"/>
          <w:szCs w:val="20"/>
        </w:rPr>
        <w:t xml:space="preserve">nsporter-2 (Sglt-2) Inhibitors: </w:t>
      </w:r>
      <w:r w:rsidR="004205B4" w:rsidRPr="00C13AC2">
        <w:rPr>
          <w:sz w:val="20"/>
          <w:szCs w:val="20"/>
        </w:rPr>
        <w:t>Pharmacodynamic Profile Case Reviews</w:t>
      </w:r>
      <w:r w:rsidR="00E24DBA" w:rsidRPr="00C13AC2">
        <w:rPr>
          <w:sz w:val="20"/>
          <w:szCs w:val="20"/>
        </w:rPr>
        <w:t xml:space="preserve">. Colu J </w:t>
      </w:r>
      <w:proofErr w:type="gramStart"/>
      <w:r w:rsidR="00E24DBA" w:rsidRPr="00C13AC2">
        <w:rPr>
          <w:sz w:val="20"/>
          <w:szCs w:val="20"/>
        </w:rPr>
        <w:t>Cas</w:t>
      </w:r>
      <w:proofErr w:type="gramEnd"/>
      <w:r w:rsidR="00E24DBA" w:rsidRPr="00C13AC2">
        <w:rPr>
          <w:sz w:val="20"/>
          <w:szCs w:val="20"/>
        </w:rPr>
        <w:t xml:space="preserve"> Repo 03</w:t>
      </w:r>
      <w:r w:rsidR="00EF4F83" w:rsidRPr="00C13AC2">
        <w:rPr>
          <w:sz w:val="20"/>
          <w:szCs w:val="20"/>
        </w:rPr>
        <w:t>(01</w:t>
      </w:r>
      <w:r w:rsidR="00E24DBA" w:rsidRPr="00C13AC2">
        <w:rPr>
          <w:sz w:val="20"/>
          <w:szCs w:val="20"/>
        </w:rPr>
        <w:t>): 2023-34</w:t>
      </w:r>
      <w:r w:rsidRPr="00C13AC2">
        <w:rPr>
          <w:sz w:val="20"/>
          <w:szCs w:val="20"/>
        </w:rPr>
        <w:t>.</w:t>
      </w:r>
    </w:p>
    <w:p w14:paraId="3574A952" w14:textId="77777777" w:rsidR="003E5F14" w:rsidRPr="00C13AC2" w:rsidRDefault="003E5F14" w:rsidP="00C13AC2">
      <w:pPr>
        <w:contextualSpacing/>
        <w:mirrorIndents/>
        <w:jc w:val="both"/>
        <w:rPr>
          <w:sz w:val="20"/>
          <w:szCs w:val="20"/>
        </w:rPr>
      </w:pPr>
    </w:p>
    <w:p w14:paraId="57EF883D" w14:textId="7D0CC881" w:rsidR="00F971DE" w:rsidRPr="00C13AC2" w:rsidRDefault="00F971DE" w:rsidP="00C13AC2">
      <w:pPr>
        <w:contextualSpacing/>
        <w:mirrorIndents/>
        <w:jc w:val="both"/>
        <w:rPr>
          <w:sz w:val="20"/>
          <w:szCs w:val="20"/>
        </w:rPr>
      </w:pPr>
      <w:r w:rsidRPr="00C13AC2">
        <w:rPr>
          <w:b/>
          <w:sz w:val="20"/>
          <w:szCs w:val="20"/>
        </w:rPr>
        <w:t>Submission Date:</w:t>
      </w:r>
      <w:r w:rsidRPr="00C13AC2">
        <w:rPr>
          <w:sz w:val="20"/>
          <w:szCs w:val="20"/>
        </w:rPr>
        <w:t xml:space="preserve"> 19 </w:t>
      </w:r>
      <w:proofErr w:type="gramStart"/>
      <w:r w:rsidR="00A14FBF" w:rsidRPr="00C13AC2">
        <w:rPr>
          <w:sz w:val="20"/>
          <w:szCs w:val="20"/>
        </w:rPr>
        <w:t>February</w:t>
      </w:r>
      <w:r w:rsidRPr="00C13AC2">
        <w:rPr>
          <w:sz w:val="20"/>
          <w:szCs w:val="20"/>
        </w:rPr>
        <w:t>,</w:t>
      </w:r>
      <w:proofErr w:type="gramEnd"/>
      <w:r w:rsidRPr="00C13AC2">
        <w:rPr>
          <w:sz w:val="20"/>
          <w:szCs w:val="20"/>
        </w:rPr>
        <w:t xml:space="preserve"> 202</w:t>
      </w:r>
      <w:r w:rsidR="008B79B0" w:rsidRPr="00C13AC2">
        <w:rPr>
          <w:sz w:val="20"/>
          <w:szCs w:val="20"/>
        </w:rPr>
        <w:t>3</w:t>
      </w:r>
      <w:r w:rsidRPr="00C13AC2">
        <w:rPr>
          <w:sz w:val="20"/>
          <w:szCs w:val="20"/>
        </w:rPr>
        <w:t xml:space="preserve">; </w:t>
      </w:r>
      <w:r w:rsidRPr="00C13AC2">
        <w:rPr>
          <w:b/>
          <w:sz w:val="20"/>
          <w:szCs w:val="20"/>
        </w:rPr>
        <w:t>Accepted Date:</w:t>
      </w:r>
      <w:r w:rsidRPr="00C13AC2">
        <w:rPr>
          <w:sz w:val="20"/>
          <w:szCs w:val="20"/>
        </w:rPr>
        <w:t xml:space="preserve"> </w:t>
      </w:r>
      <w:r w:rsidR="0058018C" w:rsidRPr="00C13AC2">
        <w:rPr>
          <w:sz w:val="20"/>
          <w:szCs w:val="20"/>
        </w:rPr>
        <w:t>01 March, 2023</w:t>
      </w:r>
      <w:r w:rsidRPr="00C13AC2">
        <w:rPr>
          <w:sz w:val="20"/>
          <w:szCs w:val="20"/>
        </w:rPr>
        <w:t xml:space="preserve">; </w:t>
      </w:r>
      <w:r w:rsidRPr="00C13AC2">
        <w:rPr>
          <w:b/>
          <w:sz w:val="20"/>
          <w:szCs w:val="20"/>
        </w:rPr>
        <w:t>Published Online:</w:t>
      </w:r>
      <w:r w:rsidRPr="00C13AC2">
        <w:rPr>
          <w:sz w:val="20"/>
          <w:szCs w:val="20"/>
        </w:rPr>
        <w:t xml:space="preserve"> </w:t>
      </w:r>
      <w:r w:rsidR="009324B4" w:rsidRPr="00C13AC2">
        <w:rPr>
          <w:sz w:val="20"/>
          <w:szCs w:val="20"/>
        </w:rPr>
        <w:t>06 March</w:t>
      </w:r>
      <w:r w:rsidRPr="00C13AC2">
        <w:rPr>
          <w:sz w:val="20"/>
          <w:szCs w:val="20"/>
        </w:rPr>
        <w:t>, 202</w:t>
      </w:r>
      <w:r w:rsidR="009324B4" w:rsidRPr="00C13AC2">
        <w:rPr>
          <w:sz w:val="20"/>
          <w:szCs w:val="20"/>
        </w:rPr>
        <w:t>3</w:t>
      </w:r>
    </w:p>
    <w:p w14:paraId="011B79AC" w14:textId="77777777" w:rsidR="00403D9E" w:rsidRPr="00C13AC2" w:rsidRDefault="00403D9E" w:rsidP="00C13AC2">
      <w:pPr>
        <w:contextualSpacing/>
        <w:mirrorIndents/>
        <w:jc w:val="both"/>
        <w:rPr>
          <w:sz w:val="20"/>
          <w:szCs w:val="20"/>
        </w:rPr>
      </w:pPr>
    </w:p>
    <w:p w14:paraId="6812B342" w14:textId="5192A046" w:rsidR="00BB0874" w:rsidRPr="009D76E6" w:rsidRDefault="00BB0874" w:rsidP="00403D9E">
      <w:pPr>
        <w:contextualSpacing/>
        <w:mirrorIndents/>
        <w:jc w:val="both"/>
        <w:rPr>
          <w:b/>
          <w:sz w:val="22"/>
          <w:szCs w:val="22"/>
        </w:rPr>
      </w:pPr>
      <w:r w:rsidRPr="009D76E6">
        <w:rPr>
          <w:b/>
          <w:sz w:val="22"/>
          <w:szCs w:val="22"/>
        </w:rPr>
        <w:t>Introduction</w:t>
      </w:r>
    </w:p>
    <w:p w14:paraId="2DF47F94" w14:textId="17CF121B" w:rsidR="00BB0874" w:rsidRPr="00403D9E" w:rsidRDefault="00BB0874" w:rsidP="00403D9E">
      <w:pPr>
        <w:contextualSpacing/>
        <w:mirrorIndents/>
        <w:jc w:val="both"/>
        <w:rPr>
          <w:sz w:val="20"/>
          <w:szCs w:val="20"/>
        </w:rPr>
      </w:pPr>
    </w:p>
    <w:p w14:paraId="67E74E57" w14:textId="00D7155E" w:rsidR="00BB0874" w:rsidRDefault="00BE55C1" w:rsidP="00403D9E">
      <w:pPr>
        <w:contextualSpacing/>
        <w:mirrorIndents/>
        <w:jc w:val="both"/>
        <w:rPr>
          <w:sz w:val="20"/>
          <w:szCs w:val="20"/>
        </w:rPr>
      </w:pPr>
      <w:proofErr w:type="gramStart"/>
      <w:r w:rsidRPr="00403D9E">
        <w:rPr>
          <w:sz w:val="20"/>
          <w:szCs w:val="20"/>
        </w:rPr>
        <w:t>Sodium-Glucose Cotransporter</w:t>
      </w:r>
      <w:r w:rsidR="00760EDF" w:rsidRPr="00403D9E">
        <w:rPr>
          <w:sz w:val="20"/>
          <w:szCs w:val="20"/>
        </w:rPr>
        <w:t>-2 (SGLT-2) inhibitors were first approved for use</w:t>
      </w:r>
      <w:r w:rsidR="005A0E26" w:rsidRPr="00403D9E">
        <w:rPr>
          <w:sz w:val="20"/>
          <w:szCs w:val="20"/>
        </w:rPr>
        <w:t xml:space="preserve"> in the management of type 2 diabetes mellitus</w:t>
      </w:r>
      <w:r w:rsidR="00760EDF" w:rsidRPr="00403D9E">
        <w:rPr>
          <w:sz w:val="20"/>
          <w:szCs w:val="20"/>
        </w:rPr>
        <w:t xml:space="preserve"> by the United States Food and Drug Administration (US FDA)</w:t>
      </w:r>
      <w:proofErr w:type="gramEnd"/>
      <w:r w:rsidR="00760EDF" w:rsidRPr="00403D9E">
        <w:rPr>
          <w:sz w:val="20"/>
          <w:szCs w:val="20"/>
        </w:rPr>
        <w:t xml:space="preserve"> in 2013. Dapagliflozin, ertugliflozin, empagliflozin, and canagliflozin are the currently utilized </w:t>
      </w:r>
      <w:r w:rsidR="007928E3" w:rsidRPr="00403D9E">
        <w:rPr>
          <w:sz w:val="20"/>
          <w:szCs w:val="20"/>
        </w:rPr>
        <w:t>agents in this drug category</w:t>
      </w:r>
      <w:r w:rsidR="004001AF" w:rsidRPr="00403D9E">
        <w:rPr>
          <w:sz w:val="20"/>
          <w:szCs w:val="20"/>
        </w:rPr>
        <w:t xml:space="preserve"> </w:t>
      </w:r>
      <w:r w:rsidR="004001AF" w:rsidRPr="00403D9E">
        <w:rPr>
          <w:color w:val="FF0000"/>
          <w:sz w:val="20"/>
          <w:szCs w:val="20"/>
        </w:rPr>
        <w:t>[1]</w:t>
      </w:r>
      <w:r w:rsidR="00760EDF" w:rsidRPr="00403D9E">
        <w:rPr>
          <w:sz w:val="20"/>
          <w:szCs w:val="20"/>
        </w:rPr>
        <w:t xml:space="preserve">. </w:t>
      </w:r>
      <w:r w:rsidR="00996511" w:rsidRPr="00403D9E">
        <w:rPr>
          <w:sz w:val="20"/>
          <w:szCs w:val="20"/>
        </w:rPr>
        <w:t>Clinical trials have shown improved renal as well as cardiovascular outcomes in diabetic patients prescribed SGLT-2 inhibitors</w:t>
      </w:r>
      <w:r w:rsidR="0057126C" w:rsidRPr="00403D9E">
        <w:rPr>
          <w:sz w:val="20"/>
          <w:szCs w:val="20"/>
        </w:rPr>
        <w:t xml:space="preserve"> </w:t>
      </w:r>
      <w:r w:rsidR="0057126C" w:rsidRPr="00403D9E">
        <w:rPr>
          <w:color w:val="FF0000"/>
          <w:sz w:val="20"/>
          <w:szCs w:val="20"/>
        </w:rPr>
        <w:t>[2-4]</w:t>
      </w:r>
      <w:r w:rsidR="00996511" w:rsidRPr="00403D9E">
        <w:rPr>
          <w:sz w:val="20"/>
          <w:szCs w:val="20"/>
        </w:rPr>
        <w:t xml:space="preserve">. </w:t>
      </w:r>
      <w:r w:rsidR="008050EB" w:rsidRPr="00403D9E">
        <w:rPr>
          <w:sz w:val="20"/>
          <w:szCs w:val="20"/>
        </w:rPr>
        <w:t>Despite proven benefits, these drugs have a unique adverse event profile associated with them. It is imperative for clinicians to recognize the pharmacodynamic profile of these drugs as their</w:t>
      </w:r>
      <w:r w:rsidR="00760EDF" w:rsidRPr="00403D9E">
        <w:rPr>
          <w:sz w:val="20"/>
          <w:szCs w:val="20"/>
        </w:rPr>
        <w:t xml:space="preserve"> use is likely to continue to increase given their proven benefits. The cases presented here highlight several aspects </w:t>
      </w:r>
      <w:r w:rsidR="0013665A" w:rsidRPr="00403D9E">
        <w:rPr>
          <w:sz w:val="20"/>
          <w:szCs w:val="20"/>
        </w:rPr>
        <w:t>of the risk profile associated with SGLT-2 inhibitors.</w:t>
      </w:r>
    </w:p>
    <w:p w14:paraId="565B7304" w14:textId="0D583F51" w:rsidR="009B396B" w:rsidRDefault="009B396B" w:rsidP="00403D9E">
      <w:pPr>
        <w:contextualSpacing/>
        <w:mirrorIndents/>
        <w:jc w:val="both"/>
        <w:rPr>
          <w:sz w:val="20"/>
          <w:szCs w:val="20"/>
        </w:rPr>
      </w:pPr>
    </w:p>
    <w:p w14:paraId="463E33A6" w14:textId="77777777" w:rsidR="009B396B" w:rsidRPr="00403D9E" w:rsidRDefault="009B396B" w:rsidP="009B396B">
      <w:pPr>
        <w:contextualSpacing/>
        <w:mirrorIndents/>
        <w:jc w:val="both"/>
        <w:rPr>
          <w:b/>
          <w:sz w:val="20"/>
          <w:szCs w:val="20"/>
        </w:rPr>
      </w:pPr>
      <w:r w:rsidRPr="00481743">
        <w:rPr>
          <w:b/>
          <w:sz w:val="22"/>
          <w:szCs w:val="22"/>
        </w:rPr>
        <w:t>Keywords:</w:t>
      </w:r>
      <w:r w:rsidRPr="00403D9E">
        <w:rPr>
          <w:b/>
          <w:sz w:val="20"/>
          <w:szCs w:val="20"/>
        </w:rPr>
        <w:t xml:space="preserve"> </w:t>
      </w:r>
      <w:r w:rsidRPr="00403D9E">
        <w:rPr>
          <w:bCs/>
          <w:sz w:val="20"/>
          <w:szCs w:val="20"/>
        </w:rPr>
        <w:t>Diabetes mellitus; Euglycemic DKA; Sodium-glucose cotransporter-2 (SGLT-2) inhibitor</w:t>
      </w:r>
    </w:p>
    <w:p w14:paraId="493A1F35" w14:textId="77777777" w:rsidR="00B33698" w:rsidRPr="00403D9E" w:rsidRDefault="00B33698" w:rsidP="00403D9E">
      <w:pPr>
        <w:contextualSpacing/>
        <w:mirrorIndents/>
        <w:jc w:val="both"/>
        <w:rPr>
          <w:sz w:val="20"/>
          <w:szCs w:val="20"/>
        </w:rPr>
      </w:pPr>
    </w:p>
    <w:p w14:paraId="3F632D5D" w14:textId="0928BBF1" w:rsidR="00211916" w:rsidRPr="00050D0E" w:rsidRDefault="00211916" w:rsidP="00403D9E">
      <w:pPr>
        <w:contextualSpacing/>
        <w:mirrorIndents/>
        <w:jc w:val="both"/>
        <w:rPr>
          <w:b/>
          <w:sz w:val="22"/>
          <w:szCs w:val="22"/>
        </w:rPr>
      </w:pPr>
      <w:r w:rsidRPr="00050D0E">
        <w:rPr>
          <w:b/>
          <w:sz w:val="22"/>
          <w:szCs w:val="22"/>
        </w:rPr>
        <w:t>Case 1</w:t>
      </w:r>
    </w:p>
    <w:p w14:paraId="7ABEB29C" w14:textId="77777777" w:rsidR="009B396B" w:rsidRPr="009B396B" w:rsidRDefault="009B396B" w:rsidP="00403D9E">
      <w:pPr>
        <w:contextualSpacing/>
        <w:mirrorIndents/>
        <w:jc w:val="both"/>
        <w:rPr>
          <w:sz w:val="20"/>
          <w:szCs w:val="20"/>
        </w:rPr>
      </w:pPr>
    </w:p>
    <w:p w14:paraId="5AD0252C" w14:textId="023891D4" w:rsidR="00211916" w:rsidRPr="00403D9E" w:rsidRDefault="00211916" w:rsidP="00403D9E">
      <w:pPr>
        <w:contextualSpacing/>
        <w:mirrorIndents/>
        <w:jc w:val="both"/>
        <w:rPr>
          <w:b/>
          <w:sz w:val="20"/>
          <w:szCs w:val="20"/>
        </w:rPr>
      </w:pPr>
      <w:r w:rsidRPr="00403D9E">
        <w:rPr>
          <w:b/>
          <w:sz w:val="20"/>
          <w:szCs w:val="20"/>
        </w:rPr>
        <w:t>History and Initial Presentation</w:t>
      </w:r>
    </w:p>
    <w:p w14:paraId="4F3F1C0D" w14:textId="77777777" w:rsidR="005601EA" w:rsidRPr="00403D9E" w:rsidRDefault="005601EA" w:rsidP="00403D9E">
      <w:pPr>
        <w:contextualSpacing/>
        <w:mirrorIndents/>
        <w:jc w:val="both"/>
        <w:rPr>
          <w:sz w:val="20"/>
          <w:szCs w:val="20"/>
        </w:rPr>
      </w:pPr>
    </w:p>
    <w:p w14:paraId="6789ECC7" w14:textId="0ADD2848" w:rsidR="00211916" w:rsidRPr="00403D9E" w:rsidRDefault="00B67A8C" w:rsidP="00403D9E">
      <w:pPr>
        <w:contextualSpacing/>
        <w:mirrorIndents/>
        <w:jc w:val="both"/>
        <w:rPr>
          <w:sz w:val="20"/>
          <w:szCs w:val="20"/>
        </w:rPr>
      </w:pPr>
      <w:r w:rsidRPr="00403D9E">
        <w:rPr>
          <w:sz w:val="20"/>
          <w:szCs w:val="20"/>
        </w:rPr>
        <w:t>A</w:t>
      </w:r>
      <w:r w:rsidR="00211916" w:rsidRPr="00403D9E">
        <w:rPr>
          <w:sz w:val="20"/>
          <w:szCs w:val="20"/>
        </w:rPr>
        <w:t xml:space="preserve"> </w:t>
      </w:r>
      <w:proofErr w:type="gramStart"/>
      <w:r w:rsidR="00211916" w:rsidRPr="00403D9E">
        <w:rPr>
          <w:sz w:val="20"/>
          <w:szCs w:val="20"/>
        </w:rPr>
        <w:t>41 year old</w:t>
      </w:r>
      <w:proofErr w:type="gramEnd"/>
      <w:r w:rsidR="00211916" w:rsidRPr="00403D9E">
        <w:rPr>
          <w:sz w:val="20"/>
          <w:szCs w:val="20"/>
        </w:rPr>
        <w:t xml:space="preserve"> </w:t>
      </w:r>
      <w:r w:rsidR="00E3722C" w:rsidRPr="00403D9E">
        <w:rPr>
          <w:sz w:val="20"/>
          <w:szCs w:val="20"/>
        </w:rPr>
        <w:t>w</w:t>
      </w:r>
      <w:r w:rsidR="00211916" w:rsidRPr="00403D9E">
        <w:rPr>
          <w:sz w:val="20"/>
          <w:szCs w:val="20"/>
        </w:rPr>
        <w:t xml:space="preserve">hite male </w:t>
      </w:r>
      <w:r w:rsidRPr="00403D9E">
        <w:rPr>
          <w:sz w:val="20"/>
          <w:szCs w:val="20"/>
        </w:rPr>
        <w:t>with</w:t>
      </w:r>
      <w:r w:rsidR="00211916" w:rsidRPr="00403D9E">
        <w:rPr>
          <w:sz w:val="20"/>
          <w:szCs w:val="20"/>
        </w:rPr>
        <w:t xml:space="preserve"> a history of type </w:t>
      </w:r>
      <w:r w:rsidR="002407DC" w:rsidRPr="00403D9E">
        <w:rPr>
          <w:sz w:val="20"/>
          <w:szCs w:val="20"/>
        </w:rPr>
        <w:t>2</w:t>
      </w:r>
      <w:r w:rsidR="00211916" w:rsidRPr="00403D9E">
        <w:rPr>
          <w:sz w:val="20"/>
          <w:szCs w:val="20"/>
        </w:rPr>
        <w:t xml:space="preserve"> diabetes </w:t>
      </w:r>
      <w:r w:rsidR="008E4D7F" w:rsidRPr="00403D9E">
        <w:rPr>
          <w:sz w:val="20"/>
          <w:szCs w:val="20"/>
        </w:rPr>
        <w:t xml:space="preserve">mellitus </w:t>
      </w:r>
      <w:r w:rsidR="00F04C7B" w:rsidRPr="00403D9E">
        <w:rPr>
          <w:sz w:val="20"/>
          <w:szCs w:val="20"/>
        </w:rPr>
        <w:t xml:space="preserve">presented with </w:t>
      </w:r>
      <w:r w:rsidR="00E879CE" w:rsidRPr="00403D9E">
        <w:rPr>
          <w:sz w:val="20"/>
          <w:szCs w:val="20"/>
        </w:rPr>
        <w:t>two days</w:t>
      </w:r>
      <w:r w:rsidR="00F04C7B" w:rsidRPr="00403D9E">
        <w:rPr>
          <w:sz w:val="20"/>
          <w:szCs w:val="20"/>
        </w:rPr>
        <w:t xml:space="preserve"> of </w:t>
      </w:r>
      <w:r w:rsidR="00AE3C4B" w:rsidRPr="00403D9E">
        <w:rPr>
          <w:sz w:val="20"/>
          <w:szCs w:val="20"/>
        </w:rPr>
        <w:t xml:space="preserve">nausea, </w:t>
      </w:r>
      <w:r w:rsidR="00F04C7B" w:rsidRPr="00403D9E">
        <w:rPr>
          <w:sz w:val="20"/>
          <w:szCs w:val="20"/>
        </w:rPr>
        <w:t>vomiting, weakness, and anorexia</w:t>
      </w:r>
      <w:r w:rsidR="004A0836" w:rsidRPr="00403D9E">
        <w:rPr>
          <w:sz w:val="20"/>
          <w:szCs w:val="20"/>
        </w:rPr>
        <w:t xml:space="preserve">. </w:t>
      </w:r>
      <w:r w:rsidR="00F04C7B" w:rsidRPr="00403D9E">
        <w:rPr>
          <w:sz w:val="20"/>
          <w:szCs w:val="20"/>
        </w:rPr>
        <w:t>He was prescribed</w:t>
      </w:r>
      <w:r w:rsidR="00211916" w:rsidRPr="00403D9E">
        <w:rPr>
          <w:sz w:val="20"/>
          <w:szCs w:val="20"/>
        </w:rPr>
        <w:t xml:space="preserve"> metformin</w:t>
      </w:r>
      <w:r w:rsidR="00AD4C7F" w:rsidRPr="00403D9E">
        <w:rPr>
          <w:sz w:val="20"/>
          <w:szCs w:val="20"/>
        </w:rPr>
        <w:t xml:space="preserve"> 1,000 mg twice daily</w:t>
      </w:r>
      <w:r w:rsidR="00211916" w:rsidRPr="00403D9E">
        <w:rPr>
          <w:sz w:val="20"/>
          <w:szCs w:val="20"/>
        </w:rPr>
        <w:t>, ertugliflozin</w:t>
      </w:r>
      <w:r w:rsidR="00460156" w:rsidRPr="00403D9E">
        <w:rPr>
          <w:sz w:val="20"/>
          <w:szCs w:val="20"/>
        </w:rPr>
        <w:t xml:space="preserve"> </w:t>
      </w:r>
      <w:r w:rsidR="00BF4679" w:rsidRPr="00403D9E">
        <w:rPr>
          <w:sz w:val="20"/>
          <w:szCs w:val="20"/>
        </w:rPr>
        <w:t xml:space="preserve">15 mg daily, </w:t>
      </w:r>
      <w:r w:rsidR="00211916" w:rsidRPr="00403D9E">
        <w:rPr>
          <w:sz w:val="20"/>
          <w:szCs w:val="20"/>
        </w:rPr>
        <w:t>and</w:t>
      </w:r>
      <w:r w:rsidR="002407DC" w:rsidRPr="00403D9E">
        <w:rPr>
          <w:sz w:val="20"/>
          <w:szCs w:val="20"/>
        </w:rPr>
        <w:t xml:space="preserve"> dulaglutide</w:t>
      </w:r>
      <w:r w:rsidR="00460156" w:rsidRPr="00403D9E">
        <w:rPr>
          <w:sz w:val="20"/>
          <w:szCs w:val="20"/>
        </w:rPr>
        <w:t xml:space="preserve"> 1.5 mg</w:t>
      </w:r>
      <w:r w:rsidR="00AD4C7F" w:rsidRPr="00403D9E">
        <w:rPr>
          <w:sz w:val="20"/>
          <w:szCs w:val="20"/>
        </w:rPr>
        <w:t xml:space="preserve"> </w:t>
      </w:r>
      <w:r w:rsidR="00460156" w:rsidRPr="00403D9E">
        <w:rPr>
          <w:sz w:val="20"/>
          <w:szCs w:val="20"/>
        </w:rPr>
        <w:t xml:space="preserve">subcutaneous </w:t>
      </w:r>
      <w:r w:rsidR="00AD4C7F" w:rsidRPr="00403D9E">
        <w:rPr>
          <w:sz w:val="20"/>
          <w:szCs w:val="20"/>
        </w:rPr>
        <w:t>injection</w:t>
      </w:r>
      <w:r w:rsidR="00460156" w:rsidRPr="00403D9E">
        <w:rPr>
          <w:sz w:val="20"/>
          <w:szCs w:val="20"/>
        </w:rPr>
        <w:t xml:space="preserve"> weekly</w:t>
      </w:r>
      <w:r w:rsidR="00AE3C4B" w:rsidRPr="00403D9E">
        <w:rPr>
          <w:sz w:val="20"/>
          <w:szCs w:val="20"/>
        </w:rPr>
        <w:t>; h</w:t>
      </w:r>
      <w:r w:rsidR="007C18D6" w:rsidRPr="00403D9E">
        <w:rPr>
          <w:sz w:val="20"/>
          <w:szCs w:val="20"/>
        </w:rPr>
        <w:t>owever, he had not taken</w:t>
      </w:r>
      <w:r w:rsidR="00211916" w:rsidRPr="00403D9E">
        <w:rPr>
          <w:sz w:val="20"/>
          <w:szCs w:val="20"/>
        </w:rPr>
        <w:t xml:space="preserve"> his medications since </w:t>
      </w:r>
      <w:r w:rsidR="00A61C01" w:rsidRPr="00403D9E">
        <w:rPr>
          <w:sz w:val="20"/>
          <w:szCs w:val="20"/>
        </w:rPr>
        <w:t xml:space="preserve">the </w:t>
      </w:r>
      <w:r w:rsidR="00211916" w:rsidRPr="00403D9E">
        <w:rPr>
          <w:sz w:val="20"/>
          <w:szCs w:val="20"/>
        </w:rPr>
        <w:t xml:space="preserve">onset of symptoms. A detailed history was </w:t>
      </w:r>
      <w:r w:rsidR="003231BF" w:rsidRPr="00403D9E">
        <w:rPr>
          <w:sz w:val="20"/>
          <w:szCs w:val="20"/>
        </w:rPr>
        <w:t xml:space="preserve">challenging </w:t>
      </w:r>
      <w:r w:rsidR="00211916" w:rsidRPr="00403D9E">
        <w:rPr>
          <w:sz w:val="20"/>
          <w:szCs w:val="20"/>
        </w:rPr>
        <w:t>at the time of presentation given his altered mental status. He was oriented only to person and time</w:t>
      </w:r>
      <w:r w:rsidR="00A61C01" w:rsidRPr="00403D9E">
        <w:rPr>
          <w:sz w:val="20"/>
          <w:szCs w:val="20"/>
        </w:rPr>
        <w:t xml:space="preserve">, and was </w:t>
      </w:r>
      <w:proofErr w:type="gramStart"/>
      <w:r w:rsidR="00211916" w:rsidRPr="00403D9E">
        <w:rPr>
          <w:sz w:val="20"/>
          <w:szCs w:val="20"/>
        </w:rPr>
        <w:t>toxic-appearing</w:t>
      </w:r>
      <w:proofErr w:type="gramEnd"/>
      <w:r w:rsidR="00211916" w:rsidRPr="00403D9E">
        <w:rPr>
          <w:sz w:val="20"/>
          <w:szCs w:val="20"/>
        </w:rPr>
        <w:t>. H</w:t>
      </w:r>
      <w:r w:rsidR="00072DE4" w:rsidRPr="00403D9E">
        <w:rPr>
          <w:sz w:val="20"/>
          <w:szCs w:val="20"/>
        </w:rPr>
        <w:t>e was tachycardic with dry</w:t>
      </w:r>
      <w:r w:rsidR="00211916" w:rsidRPr="00403D9E">
        <w:rPr>
          <w:sz w:val="20"/>
          <w:szCs w:val="20"/>
        </w:rPr>
        <w:t xml:space="preserve"> mucous membranes </w:t>
      </w:r>
      <w:r w:rsidR="00072DE4" w:rsidRPr="00403D9E">
        <w:rPr>
          <w:sz w:val="20"/>
          <w:szCs w:val="20"/>
        </w:rPr>
        <w:t>and pale skin</w:t>
      </w:r>
      <w:r w:rsidR="00211916" w:rsidRPr="00403D9E">
        <w:rPr>
          <w:sz w:val="20"/>
          <w:szCs w:val="20"/>
        </w:rPr>
        <w:t>.</w:t>
      </w:r>
      <w:r w:rsidR="007928E3" w:rsidRPr="00403D9E">
        <w:rPr>
          <w:sz w:val="20"/>
          <w:szCs w:val="20"/>
        </w:rPr>
        <w:t xml:space="preserve"> T</w:t>
      </w:r>
      <w:r w:rsidR="00211916" w:rsidRPr="00403D9E">
        <w:rPr>
          <w:sz w:val="20"/>
          <w:szCs w:val="20"/>
        </w:rPr>
        <w:t>here was nonspecific diffuse abdominal tenderness</w:t>
      </w:r>
      <w:r w:rsidR="00A61C01" w:rsidRPr="00403D9E">
        <w:rPr>
          <w:sz w:val="20"/>
          <w:szCs w:val="20"/>
        </w:rPr>
        <w:t xml:space="preserve">, although no guarding or rebound tenderness was </w:t>
      </w:r>
      <w:r w:rsidR="007928E3" w:rsidRPr="00403D9E">
        <w:rPr>
          <w:sz w:val="20"/>
          <w:szCs w:val="20"/>
        </w:rPr>
        <w:t>present</w:t>
      </w:r>
      <w:r w:rsidR="00A61C01" w:rsidRPr="00403D9E">
        <w:rPr>
          <w:sz w:val="20"/>
          <w:szCs w:val="20"/>
        </w:rPr>
        <w:t>.</w:t>
      </w:r>
      <w:r w:rsidR="00E11E10" w:rsidRPr="00403D9E">
        <w:rPr>
          <w:sz w:val="20"/>
          <w:szCs w:val="20"/>
        </w:rPr>
        <w:t xml:space="preserve"> </w:t>
      </w:r>
    </w:p>
    <w:p w14:paraId="2550B7B5" w14:textId="77777777" w:rsidR="00163740" w:rsidRPr="00403D9E" w:rsidRDefault="00163740" w:rsidP="00403D9E">
      <w:pPr>
        <w:contextualSpacing/>
        <w:mirrorIndents/>
        <w:jc w:val="both"/>
        <w:rPr>
          <w:sz w:val="20"/>
          <w:szCs w:val="20"/>
        </w:rPr>
      </w:pPr>
    </w:p>
    <w:p w14:paraId="0E627D37" w14:textId="5890D854" w:rsidR="00AB5CD8" w:rsidRDefault="00AB5CD8" w:rsidP="00403D9E">
      <w:pPr>
        <w:contextualSpacing/>
        <w:mirrorIndents/>
        <w:jc w:val="both"/>
        <w:rPr>
          <w:sz w:val="20"/>
          <w:szCs w:val="20"/>
        </w:rPr>
      </w:pPr>
      <w:r w:rsidRPr="00403D9E">
        <w:rPr>
          <w:sz w:val="20"/>
          <w:szCs w:val="20"/>
        </w:rPr>
        <w:t>His workup revealed a metabolic acidosis with an</w:t>
      </w:r>
      <w:r w:rsidRPr="00403D9E">
        <w:rPr>
          <w:color w:val="FF0000"/>
          <w:sz w:val="20"/>
          <w:szCs w:val="20"/>
        </w:rPr>
        <w:t xml:space="preserve"> </w:t>
      </w:r>
      <w:r w:rsidRPr="00403D9E">
        <w:rPr>
          <w:sz w:val="20"/>
          <w:szCs w:val="20"/>
        </w:rPr>
        <w:t xml:space="preserve">elevated anion gap, hyperglycemia and the presence of serum acetones. His serum creatinine </w:t>
      </w:r>
      <w:r w:rsidR="00814220" w:rsidRPr="00403D9E">
        <w:rPr>
          <w:sz w:val="20"/>
          <w:szCs w:val="20"/>
        </w:rPr>
        <w:t>was</w:t>
      </w:r>
      <w:r w:rsidRPr="00403D9E">
        <w:rPr>
          <w:sz w:val="20"/>
          <w:szCs w:val="20"/>
        </w:rPr>
        <w:t xml:space="preserve"> elevated.</w:t>
      </w:r>
      <w:r w:rsidR="00814220" w:rsidRPr="00403D9E">
        <w:rPr>
          <w:sz w:val="20"/>
          <w:szCs w:val="20"/>
        </w:rPr>
        <w:t xml:space="preserve"> The lipase was </w:t>
      </w:r>
      <w:r w:rsidR="00B5671E" w:rsidRPr="00403D9E">
        <w:rPr>
          <w:sz w:val="20"/>
          <w:szCs w:val="20"/>
        </w:rPr>
        <w:t xml:space="preserve">elevated at </w:t>
      </w:r>
      <w:r w:rsidR="00814220" w:rsidRPr="00403D9E">
        <w:rPr>
          <w:color w:val="212121"/>
          <w:sz w:val="20"/>
          <w:szCs w:val="20"/>
        </w:rPr>
        <w:t>451 U/L.</w:t>
      </w:r>
      <w:r w:rsidRPr="00403D9E">
        <w:rPr>
          <w:sz w:val="20"/>
          <w:szCs w:val="20"/>
        </w:rPr>
        <w:t xml:space="preserve"> There was no evidence of hepatobiliary dysfunction. His hemoglobin </w:t>
      </w:r>
      <w:proofErr w:type="gramStart"/>
      <w:r w:rsidRPr="00403D9E">
        <w:rPr>
          <w:sz w:val="20"/>
          <w:szCs w:val="20"/>
        </w:rPr>
        <w:t>A1c</w:t>
      </w:r>
      <w:proofErr w:type="gramEnd"/>
      <w:r w:rsidRPr="00403D9E">
        <w:rPr>
          <w:sz w:val="20"/>
          <w:szCs w:val="20"/>
        </w:rPr>
        <w:t xml:space="preserve"> was 9.3, and his triglyceride</w:t>
      </w:r>
      <w:r w:rsidR="00814220" w:rsidRPr="00403D9E">
        <w:rPr>
          <w:sz w:val="20"/>
          <w:szCs w:val="20"/>
        </w:rPr>
        <w:t xml:space="preserve"> level </w:t>
      </w:r>
      <w:r w:rsidR="00B5671E" w:rsidRPr="00403D9E">
        <w:rPr>
          <w:sz w:val="20"/>
          <w:szCs w:val="20"/>
        </w:rPr>
        <w:t>was</w:t>
      </w:r>
      <w:r w:rsidR="00814220" w:rsidRPr="00403D9E">
        <w:rPr>
          <w:sz w:val="20"/>
          <w:szCs w:val="20"/>
        </w:rPr>
        <w:t xml:space="preserve"> </w:t>
      </w:r>
      <w:r w:rsidR="00814220" w:rsidRPr="00403D9E">
        <w:rPr>
          <w:color w:val="212121"/>
          <w:sz w:val="20"/>
          <w:szCs w:val="20"/>
        </w:rPr>
        <w:t>227 mg/dL</w:t>
      </w:r>
      <w:r w:rsidRPr="00403D9E">
        <w:rPr>
          <w:sz w:val="20"/>
          <w:szCs w:val="20"/>
        </w:rPr>
        <w:t xml:space="preserve">. Specific values </w:t>
      </w:r>
      <w:proofErr w:type="gramStart"/>
      <w:r w:rsidRPr="00403D9E">
        <w:rPr>
          <w:sz w:val="20"/>
          <w:szCs w:val="20"/>
        </w:rPr>
        <w:t>are listed</w:t>
      </w:r>
      <w:proofErr w:type="gramEnd"/>
      <w:r w:rsidRPr="00403D9E">
        <w:rPr>
          <w:sz w:val="20"/>
          <w:szCs w:val="20"/>
        </w:rPr>
        <w:t xml:space="preserve"> in </w:t>
      </w:r>
      <w:r w:rsidR="005042CD" w:rsidRPr="00403D9E">
        <w:rPr>
          <w:color w:val="FF0000"/>
          <w:sz w:val="20"/>
          <w:szCs w:val="20"/>
        </w:rPr>
        <w:t>(</w:t>
      </w:r>
      <w:r w:rsidR="00100B1B" w:rsidRPr="00403D9E">
        <w:rPr>
          <w:color w:val="FF0000"/>
          <w:sz w:val="20"/>
          <w:szCs w:val="20"/>
        </w:rPr>
        <w:t>T</w:t>
      </w:r>
      <w:r w:rsidRPr="00403D9E">
        <w:rPr>
          <w:color w:val="FF0000"/>
          <w:sz w:val="20"/>
          <w:szCs w:val="20"/>
        </w:rPr>
        <w:t>able 1</w:t>
      </w:r>
      <w:r w:rsidR="005042CD" w:rsidRPr="00403D9E">
        <w:rPr>
          <w:color w:val="FF0000"/>
          <w:sz w:val="20"/>
          <w:szCs w:val="20"/>
        </w:rPr>
        <w:t>)</w:t>
      </w:r>
      <w:r w:rsidRPr="00403D9E">
        <w:rPr>
          <w:sz w:val="20"/>
          <w:szCs w:val="20"/>
        </w:rPr>
        <w:t xml:space="preserve">. A non-contrast </w:t>
      </w:r>
      <w:r w:rsidR="00C87782" w:rsidRPr="00403D9E">
        <w:rPr>
          <w:sz w:val="20"/>
          <w:szCs w:val="20"/>
        </w:rPr>
        <w:t xml:space="preserve">Computed Tomography </w:t>
      </w:r>
      <w:r w:rsidRPr="00403D9E">
        <w:rPr>
          <w:sz w:val="20"/>
          <w:szCs w:val="20"/>
        </w:rPr>
        <w:t xml:space="preserve">(CT) scan of the abdomen and pelvis showed no acute intra-abdominal pathology. An infectious work up including blood cultures, urinalysis, SARS-CoV-2 PCR, streptococcus PCR, and a chest radiograph revealed no signs of infection. He </w:t>
      </w:r>
      <w:proofErr w:type="gramStart"/>
      <w:r w:rsidRPr="00403D9E">
        <w:rPr>
          <w:sz w:val="20"/>
          <w:szCs w:val="20"/>
        </w:rPr>
        <w:t xml:space="preserve">was </w:t>
      </w:r>
      <w:r w:rsidR="00F86000" w:rsidRPr="00403D9E">
        <w:rPr>
          <w:sz w:val="20"/>
          <w:szCs w:val="20"/>
        </w:rPr>
        <w:t>transferred</w:t>
      </w:r>
      <w:proofErr w:type="gramEnd"/>
      <w:r w:rsidRPr="00403D9E">
        <w:rPr>
          <w:sz w:val="20"/>
          <w:szCs w:val="20"/>
        </w:rPr>
        <w:t xml:space="preserve"> to the intensive care unit (ICU) with a diagnosis of mild acute pancreatitis (based on 2013 Atlanta criteria) and </w:t>
      </w:r>
      <w:r w:rsidR="00BC0293" w:rsidRPr="00403D9E">
        <w:rPr>
          <w:sz w:val="20"/>
          <w:szCs w:val="20"/>
        </w:rPr>
        <w:t xml:space="preserve">Diabetic Ketoacidosis </w:t>
      </w:r>
      <w:r w:rsidRPr="00403D9E">
        <w:rPr>
          <w:sz w:val="20"/>
          <w:szCs w:val="20"/>
        </w:rPr>
        <w:t>(DKA).</w:t>
      </w:r>
      <w:r w:rsidR="00E11E10" w:rsidRPr="00403D9E">
        <w:rPr>
          <w:sz w:val="20"/>
          <w:szCs w:val="20"/>
        </w:rPr>
        <w:t xml:space="preserve"> </w:t>
      </w:r>
    </w:p>
    <w:p w14:paraId="47C7F70A" w14:textId="77777777" w:rsidR="00387C0E" w:rsidRPr="00403D9E" w:rsidRDefault="00387C0E" w:rsidP="00403D9E">
      <w:pPr>
        <w:contextualSpacing/>
        <w:mirrorIndents/>
        <w:jc w:val="both"/>
        <w:rPr>
          <w:sz w:val="20"/>
          <w:szCs w:val="20"/>
        </w:rPr>
      </w:pPr>
    </w:p>
    <w:p w14:paraId="314D8FB2" w14:textId="782D391F" w:rsidR="00211916" w:rsidRPr="00403D9E" w:rsidRDefault="00211916" w:rsidP="00403D9E">
      <w:pPr>
        <w:contextualSpacing/>
        <w:mirrorIndents/>
        <w:jc w:val="both"/>
        <w:rPr>
          <w:sz w:val="20"/>
          <w:szCs w:val="20"/>
        </w:rPr>
      </w:pPr>
      <w:r w:rsidRPr="00E13989">
        <w:rPr>
          <w:b/>
          <w:sz w:val="20"/>
          <w:szCs w:val="20"/>
        </w:rPr>
        <w:t>Clinical Course and Management</w:t>
      </w:r>
    </w:p>
    <w:p w14:paraId="50CD27CF" w14:textId="0FD0A092" w:rsidR="0083717C" w:rsidRPr="00403D9E" w:rsidRDefault="0083717C" w:rsidP="00403D9E">
      <w:pPr>
        <w:contextualSpacing/>
        <w:mirrorIndents/>
        <w:jc w:val="both"/>
        <w:rPr>
          <w:sz w:val="20"/>
          <w:szCs w:val="20"/>
        </w:rPr>
      </w:pPr>
    </w:p>
    <w:tbl>
      <w:tblPr>
        <w:tblW w:w="9227" w:type="dxa"/>
        <w:jc w:val="center"/>
        <w:tblLook w:val="04A0" w:firstRow="1" w:lastRow="0" w:firstColumn="1" w:lastColumn="0" w:noHBand="0" w:noVBand="1"/>
      </w:tblPr>
      <w:tblGrid>
        <w:gridCol w:w="2875"/>
        <w:gridCol w:w="1260"/>
        <w:gridCol w:w="1601"/>
        <w:gridCol w:w="1871"/>
        <w:gridCol w:w="1620"/>
      </w:tblGrid>
      <w:tr w:rsidR="00387C0E" w:rsidRPr="00403D9E" w14:paraId="124CC78F" w14:textId="77777777" w:rsidTr="00C76444">
        <w:trPr>
          <w:trHeight w:val="74"/>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D2362" w14:textId="1A3B9E13" w:rsidR="00387C0E" w:rsidRPr="00403D9E" w:rsidRDefault="00387C0E" w:rsidP="00387C0E">
            <w:pPr>
              <w:contextualSpacing/>
              <w:mirrorIndents/>
              <w:jc w:val="center"/>
              <w:rPr>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9233DE4" w14:textId="77777777" w:rsidR="00387C0E" w:rsidRPr="00085583" w:rsidRDefault="00387C0E" w:rsidP="00387C0E">
            <w:pPr>
              <w:contextualSpacing/>
              <w:mirrorIndents/>
              <w:jc w:val="center"/>
              <w:rPr>
                <w:b/>
                <w:color w:val="212121"/>
                <w:sz w:val="20"/>
                <w:szCs w:val="20"/>
              </w:rPr>
            </w:pPr>
            <w:r w:rsidRPr="00085583">
              <w:rPr>
                <w:b/>
                <w:color w:val="212121"/>
                <w:sz w:val="20"/>
                <w:szCs w:val="20"/>
              </w:rPr>
              <w:t>Admission Labs</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14:paraId="380A451F" w14:textId="77777777" w:rsidR="00387C0E" w:rsidRPr="00403D9E" w:rsidRDefault="00387C0E" w:rsidP="00387C0E">
            <w:pPr>
              <w:contextualSpacing/>
              <w:mirrorIndents/>
              <w:jc w:val="center"/>
              <w:rPr>
                <w:color w:val="000000"/>
                <w:sz w:val="20"/>
                <w:szCs w:val="20"/>
              </w:rPr>
            </w:pPr>
            <w:r w:rsidRPr="00387C0E">
              <w:rPr>
                <w:b/>
                <w:color w:val="000000"/>
                <w:sz w:val="20"/>
                <w:szCs w:val="20"/>
              </w:rPr>
              <w:t>ICU Day 5:</w:t>
            </w:r>
            <w:r w:rsidRPr="00403D9E">
              <w:rPr>
                <w:color w:val="000000"/>
                <w:sz w:val="20"/>
                <w:szCs w:val="20"/>
              </w:rPr>
              <w:t xml:space="preserve"> </w:t>
            </w:r>
            <w:r w:rsidRPr="00403D9E">
              <w:rPr>
                <w:color w:val="000000"/>
                <w:sz w:val="20"/>
                <w:szCs w:val="20"/>
              </w:rPr>
              <w:br/>
              <w:t>Labs</w:t>
            </w:r>
            <w:r>
              <w:rPr>
                <w:color w:val="000000"/>
                <w:sz w:val="20"/>
                <w:szCs w:val="20"/>
              </w:rPr>
              <w:t xml:space="preserve"> </w:t>
            </w:r>
            <w:r w:rsidRPr="00403D9E">
              <w:rPr>
                <w:color w:val="000000"/>
                <w:sz w:val="20"/>
                <w:szCs w:val="20"/>
              </w:rPr>
              <w:t>at time of insulin transition</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14:paraId="7D0A824F" w14:textId="77777777" w:rsidR="00387C0E" w:rsidRPr="00403D9E" w:rsidRDefault="00387C0E" w:rsidP="00387C0E">
            <w:pPr>
              <w:contextualSpacing/>
              <w:mirrorIndents/>
              <w:jc w:val="center"/>
              <w:rPr>
                <w:color w:val="000000"/>
                <w:sz w:val="20"/>
                <w:szCs w:val="20"/>
              </w:rPr>
            </w:pPr>
            <w:r w:rsidRPr="00C271D9">
              <w:rPr>
                <w:b/>
                <w:color w:val="000000"/>
                <w:sz w:val="20"/>
                <w:szCs w:val="20"/>
              </w:rPr>
              <w:t>ICU Day 5:</w:t>
            </w:r>
            <w:r w:rsidRPr="00403D9E">
              <w:rPr>
                <w:color w:val="000000"/>
                <w:sz w:val="20"/>
                <w:szCs w:val="20"/>
              </w:rPr>
              <w:br/>
              <w:t>Labs after transition from IV insulin</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7361EEA" w14:textId="77777777" w:rsidR="00387C0E" w:rsidRPr="00403D9E" w:rsidRDefault="00387C0E" w:rsidP="00387C0E">
            <w:pPr>
              <w:contextualSpacing/>
              <w:mirrorIndents/>
              <w:jc w:val="center"/>
              <w:rPr>
                <w:color w:val="000000"/>
                <w:sz w:val="20"/>
                <w:szCs w:val="20"/>
              </w:rPr>
            </w:pPr>
            <w:r w:rsidRPr="00023CE1">
              <w:rPr>
                <w:b/>
                <w:color w:val="000000"/>
                <w:sz w:val="20"/>
                <w:szCs w:val="20"/>
              </w:rPr>
              <w:t>ICU Day 11:</w:t>
            </w:r>
            <w:r w:rsidRPr="00403D9E">
              <w:rPr>
                <w:color w:val="000000"/>
                <w:sz w:val="20"/>
                <w:szCs w:val="20"/>
              </w:rPr>
              <w:t xml:space="preserve"> </w:t>
            </w:r>
            <w:r w:rsidRPr="00403D9E">
              <w:rPr>
                <w:color w:val="000000"/>
                <w:sz w:val="20"/>
                <w:szCs w:val="20"/>
              </w:rPr>
              <w:br/>
              <w:t>Labs at time of transfer from ICU</w:t>
            </w:r>
          </w:p>
        </w:tc>
      </w:tr>
      <w:tr w:rsidR="00387C0E" w:rsidRPr="00403D9E" w14:paraId="2DB3AA49" w14:textId="77777777" w:rsidTr="00C76444">
        <w:trPr>
          <w:trHeight w:val="74"/>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690768B" w14:textId="77777777" w:rsidR="00387C0E" w:rsidRPr="00403D9E" w:rsidRDefault="00387C0E" w:rsidP="00387C0E">
            <w:pPr>
              <w:contextualSpacing/>
              <w:mirrorIndents/>
              <w:jc w:val="center"/>
              <w:rPr>
                <w:color w:val="212121"/>
                <w:sz w:val="20"/>
                <w:szCs w:val="20"/>
              </w:rPr>
            </w:pPr>
            <w:r w:rsidRPr="00DC3D34">
              <w:rPr>
                <w:b/>
                <w:color w:val="212121"/>
                <w:sz w:val="20"/>
                <w:szCs w:val="20"/>
              </w:rPr>
              <w:t>Sodium</w:t>
            </w:r>
            <w:r w:rsidRPr="00403D9E">
              <w:rPr>
                <w:color w:val="212121"/>
                <w:sz w:val="20"/>
                <w:szCs w:val="20"/>
              </w:rPr>
              <w:t> (mmol/L)</w:t>
            </w:r>
          </w:p>
        </w:tc>
        <w:tc>
          <w:tcPr>
            <w:tcW w:w="1260" w:type="dxa"/>
            <w:tcBorders>
              <w:top w:val="nil"/>
              <w:left w:val="nil"/>
              <w:bottom w:val="single" w:sz="4" w:space="0" w:color="auto"/>
              <w:right w:val="single" w:sz="4" w:space="0" w:color="auto"/>
            </w:tcBorders>
            <w:shd w:val="clear" w:color="auto" w:fill="auto"/>
            <w:noWrap/>
            <w:vAlign w:val="center"/>
            <w:hideMark/>
          </w:tcPr>
          <w:p w14:paraId="0F2071D0" w14:textId="77777777" w:rsidR="00387C0E" w:rsidRPr="00403D9E" w:rsidRDefault="00387C0E" w:rsidP="00387C0E">
            <w:pPr>
              <w:contextualSpacing/>
              <w:mirrorIndents/>
              <w:jc w:val="center"/>
              <w:rPr>
                <w:color w:val="212121"/>
                <w:sz w:val="20"/>
                <w:szCs w:val="20"/>
              </w:rPr>
            </w:pPr>
            <w:r w:rsidRPr="00403D9E">
              <w:rPr>
                <w:color w:val="212121"/>
                <w:sz w:val="20"/>
                <w:szCs w:val="20"/>
              </w:rPr>
              <w:t>120</w:t>
            </w:r>
          </w:p>
        </w:tc>
        <w:tc>
          <w:tcPr>
            <w:tcW w:w="1601" w:type="dxa"/>
            <w:tcBorders>
              <w:top w:val="nil"/>
              <w:left w:val="nil"/>
              <w:bottom w:val="single" w:sz="4" w:space="0" w:color="auto"/>
              <w:right w:val="single" w:sz="4" w:space="0" w:color="auto"/>
            </w:tcBorders>
            <w:shd w:val="clear" w:color="auto" w:fill="auto"/>
            <w:noWrap/>
            <w:vAlign w:val="center"/>
            <w:hideMark/>
          </w:tcPr>
          <w:p w14:paraId="6ABAFEB1" w14:textId="77777777" w:rsidR="00387C0E" w:rsidRPr="00403D9E" w:rsidRDefault="00387C0E" w:rsidP="00387C0E">
            <w:pPr>
              <w:contextualSpacing/>
              <w:mirrorIndents/>
              <w:jc w:val="center"/>
              <w:rPr>
                <w:color w:val="212121"/>
                <w:sz w:val="20"/>
                <w:szCs w:val="20"/>
              </w:rPr>
            </w:pPr>
            <w:r w:rsidRPr="00403D9E">
              <w:rPr>
                <w:color w:val="212121"/>
                <w:sz w:val="20"/>
                <w:szCs w:val="20"/>
              </w:rPr>
              <w:t>141</w:t>
            </w:r>
          </w:p>
        </w:tc>
        <w:tc>
          <w:tcPr>
            <w:tcW w:w="1871" w:type="dxa"/>
            <w:tcBorders>
              <w:top w:val="nil"/>
              <w:left w:val="nil"/>
              <w:bottom w:val="single" w:sz="4" w:space="0" w:color="auto"/>
              <w:right w:val="single" w:sz="4" w:space="0" w:color="auto"/>
            </w:tcBorders>
            <w:shd w:val="clear" w:color="auto" w:fill="auto"/>
            <w:noWrap/>
            <w:vAlign w:val="center"/>
            <w:hideMark/>
          </w:tcPr>
          <w:p w14:paraId="22C9CD1B" w14:textId="77777777" w:rsidR="00387C0E" w:rsidRPr="00403D9E" w:rsidRDefault="00387C0E" w:rsidP="00387C0E">
            <w:pPr>
              <w:contextualSpacing/>
              <w:mirrorIndents/>
              <w:jc w:val="center"/>
              <w:rPr>
                <w:color w:val="212121"/>
                <w:sz w:val="20"/>
                <w:szCs w:val="20"/>
              </w:rPr>
            </w:pPr>
            <w:r w:rsidRPr="00403D9E">
              <w:rPr>
                <w:color w:val="212121"/>
                <w:sz w:val="20"/>
                <w:szCs w:val="20"/>
              </w:rPr>
              <w:t>135</w:t>
            </w:r>
          </w:p>
        </w:tc>
        <w:tc>
          <w:tcPr>
            <w:tcW w:w="1620" w:type="dxa"/>
            <w:tcBorders>
              <w:top w:val="nil"/>
              <w:left w:val="nil"/>
              <w:bottom w:val="single" w:sz="4" w:space="0" w:color="auto"/>
              <w:right w:val="single" w:sz="4" w:space="0" w:color="auto"/>
            </w:tcBorders>
            <w:shd w:val="clear" w:color="auto" w:fill="auto"/>
            <w:noWrap/>
            <w:vAlign w:val="center"/>
            <w:hideMark/>
          </w:tcPr>
          <w:p w14:paraId="32CE4180" w14:textId="77777777" w:rsidR="00387C0E" w:rsidRPr="00403D9E" w:rsidRDefault="00387C0E" w:rsidP="00387C0E">
            <w:pPr>
              <w:contextualSpacing/>
              <w:mirrorIndents/>
              <w:jc w:val="center"/>
              <w:rPr>
                <w:color w:val="212121"/>
                <w:sz w:val="20"/>
                <w:szCs w:val="20"/>
              </w:rPr>
            </w:pPr>
            <w:r w:rsidRPr="00403D9E">
              <w:rPr>
                <w:color w:val="212121"/>
                <w:sz w:val="20"/>
                <w:szCs w:val="20"/>
              </w:rPr>
              <w:t>138</w:t>
            </w:r>
          </w:p>
        </w:tc>
      </w:tr>
      <w:tr w:rsidR="00387C0E" w:rsidRPr="00403D9E" w14:paraId="0E4167F0" w14:textId="77777777" w:rsidTr="00C76444">
        <w:trPr>
          <w:trHeight w:val="74"/>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09883BD" w14:textId="77777777" w:rsidR="00387C0E" w:rsidRPr="00403D9E" w:rsidRDefault="00387C0E" w:rsidP="00387C0E">
            <w:pPr>
              <w:contextualSpacing/>
              <w:mirrorIndents/>
              <w:jc w:val="center"/>
              <w:rPr>
                <w:color w:val="212121"/>
                <w:sz w:val="20"/>
                <w:szCs w:val="20"/>
              </w:rPr>
            </w:pPr>
            <w:r w:rsidRPr="00605321">
              <w:rPr>
                <w:b/>
                <w:color w:val="212121"/>
                <w:sz w:val="20"/>
                <w:szCs w:val="20"/>
              </w:rPr>
              <w:t>Corrected Sodium</w:t>
            </w:r>
            <w:r w:rsidRPr="00403D9E">
              <w:rPr>
                <w:color w:val="212121"/>
                <w:sz w:val="20"/>
                <w:szCs w:val="20"/>
              </w:rPr>
              <w:t xml:space="preserve"> (mmol/L)</w:t>
            </w:r>
          </w:p>
        </w:tc>
        <w:tc>
          <w:tcPr>
            <w:tcW w:w="1260" w:type="dxa"/>
            <w:tcBorders>
              <w:top w:val="nil"/>
              <w:left w:val="nil"/>
              <w:bottom w:val="single" w:sz="4" w:space="0" w:color="auto"/>
              <w:right w:val="single" w:sz="4" w:space="0" w:color="auto"/>
            </w:tcBorders>
            <w:shd w:val="clear" w:color="auto" w:fill="auto"/>
            <w:noWrap/>
            <w:vAlign w:val="center"/>
            <w:hideMark/>
          </w:tcPr>
          <w:p w14:paraId="5602E5F7" w14:textId="77777777" w:rsidR="00387C0E" w:rsidRPr="00403D9E" w:rsidRDefault="00387C0E" w:rsidP="00387C0E">
            <w:pPr>
              <w:contextualSpacing/>
              <w:mirrorIndents/>
              <w:jc w:val="center"/>
              <w:rPr>
                <w:color w:val="212121"/>
                <w:sz w:val="20"/>
                <w:szCs w:val="20"/>
              </w:rPr>
            </w:pPr>
            <w:r w:rsidRPr="00403D9E">
              <w:rPr>
                <w:color w:val="212121"/>
                <w:sz w:val="20"/>
                <w:szCs w:val="20"/>
              </w:rPr>
              <w:t>135</w:t>
            </w:r>
          </w:p>
        </w:tc>
        <w:tc>
          <w:tcPr>
            <w:tcW w:w="1601" w:type="dxa"/>
            <w:tcBorders>
              <w:top w:val="nil"/>
              <w:left w:val="nil"/>
              <w:bottom w:val="single" w:sz="4" w:space="0" w:color="auto"/>
              <w:right w:val="single" w:sz="4" w:space="0" w:color="auto"/>
            </w:tcBorders>
            <w:shd w:val="clear" w:color="auto" w:fill="auto"/>
            <w:noWrap/>
            <w:vAlign w:val="center"/>
            <w:hideMark/>
          </w:tcPr>
          <w:p w14:paraId="483D1BAF" w14:textId="77777777" w:rsidR="00387C0E" w:rsidRPr="00403D9E" w:rsidRDefault="00387C0E" w:rsidP="00387C0E">
            <w:pPr>
              <w:contextualSpacing/>
              <w:mirrorIndents/>
              <w:jc w:val="center"/>
              <w:rPr>
                <w:color w:val="212121"/>
                <w:sz w:val="20"/>
                <w:szCs w:val="20"/>
              </w:rPr>
            </w:pPr>
            <w:r w:rsidRPr="00403D9E">
              <w:rPr>
                <w:color w:val="212121"/>
                <w:sz w:val="20"/>
                <w:szCs w:val="20"/>
              </w:rPr>
              <w:t>143</w:t>
            </w:r>
          </w:p>
        </w:tc>
        <w:tc>
          <w:tcPr>
            <w:tcW w:w="1871" w:type="dxa"/>
            <w:tcBorders>
              <w:top w:val="nil"/>
              <w:left w:val="nil"/>
              <w:bottom w:val="single" w:sz="4" w:space="0" w:color="auto"/>
              <w:right w:val="single" w:sz="4" w:space="0" w:color="auto"/>
            </w:tcBorders>
            <w:shd w:val="clear" w:color="auto" w:fill="auto"/>
            <w:noWrap/>
            <w:vAlign w:val="center"/>
            <w:hideMark/>
          </w:tcPr>
          <w:p w14:paraId="6B5BD214" w14:textId="77777777" w:rsidR="00387C0E" w:rsidRPr="00403D9E" w:rsidRDefault="00387C0E" w:rsidP="00387C0E">
            <w:pPr>
              <w:contextualSpacing/>
              <w:mirrorIndents/>
              <w:jc w:val="center"/>
              <w:rPr>
                <w:color w:val="212121"/>
                <w:sz w:val="20"/>
                <w:szCs w:val="20"/>
              </w:rPr>
            </w:pPr>
            <w:r w:rsidRPr="00403D9E">
              <w:rPr>
                <w:color w:val="212121"/>
                <w:sz w:val="20"/>
                <w:szCs w:val="20"/>
              </w:rPr>
              <w:t>138</w:t>
            </w:r>
          </w:p>
        </w:tc>
        <w:tc>
          <w:tcPr>
            <w:tcW w:w="1620" w:type="dxa"/>
            <w:tcBorders>
              <w:top w:val="nil"/>
              <w:left w:val="nil"/>
              <w:bottom w:val="single" w:sz="4" w:space="0" w:color="auto"/>
              <w:right w:val="single" w:sz="4" w:space="0" w:color="auto"/>
            </w:tcBorders>
            <w:shd w:val="clear" w:color="auto" w:fill="auto"/>
            <w:noWrap/>
            <w:vAlign w:val="center"/>
            <w:hideMark/>
          </w:tcPr>
          <w:p w14:paraId="3C972A60" w14:textId="7C2C0974" w:rsidR="00387C0E" w:rsidRPr="00403D9E" w:rsidRDefault="00387C0E" w:rsidP="00387C0E">
            <w:pPr>
              <w:contextualSpacing/>
              <w:mirrorIndents/>
              <w:jc w:val="center"/>
              <w:rPr>
                <w:color w:val="212121"/>
                <w:sz w:val="20"/>
                <w:szCs w:val="20"/>
              </w:rPr>
            </w:pPr>
          </w:p>
        </w:tc>
      </w:tr>
      <w:tr w:rsidR="00387C0E" w:rsidRPr="00403D9E" w14:paraId="4AE8395D" w14:textId="77777777" w:rsidTr="00C76444">
        <w:trPr>
          <w:trHeight w:val="74"/>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E3D2B77" w14:textId="77777777" w:rsidR="00387C0E" w:rsidRPr="00403D9E" w:rsidRDefault="00387C0E" w:rsidP="00387C0E">
            <w:pPr>
              <w:contextualSpacing/>
              <w:mirrorIndents/>
              <w:jc w:val="center"/>
              <w:rPr>
                <w:color w:val="212121"/>
                <w:sz w:val="20"/>
                <w:szCs w:val="20"/>
              </w:rPr>
            </w:pPr>
            <w:r w:rsidRPr="00A22B7F">
              <w:rPr>
                <w:b/>
                <w:color w:val="212121"/>
                <w:sz w:val="20"/>
                <w:szCs w:val="20"/>
              </w:rPr>
              <w:t>CO</w:t>
            </w:r>
            <w:r w:rsidRPr="0054171F">
              <w:rPr>
                <w:b/>
                <w:color w:val="FF0000"/>
                <w:sz w:val="20"/>
                <w:szCs w:val="20"/>
                <w:vertAlign w:val="subscript"/>
              </w:rPr>
              <w:t>2</w:t>
            </w:r>
            <w:r w:rsidRPr="00403D9E">
              <w:rPr>
                <w:color w:val="212121"/>
                <w:sz w:val="20"/>
                <w:szCs w:val="20"/>
              </w:rPr>
              <w:t xml:space="preserve"> (mmol/L)</w:t>
            </w:r>
          </w:p>
        </w:tc>
        <w:tc>
          <w:tcPr>
            <w:tcW w:w="1260" w:type="dxa"/>
            <w:tcBorders>
              <w:top w:val="nil"/>
              <w:left w:val="nil"/>
              <w:bottom w:val="single" w:sz="4" w:space="0" w:color="auto"/>
              <w:right w:val="single" w:sz="4" w:space="0" w:color="auto"/>
            </w:tcBorders>
            <w:shd w:val="clear" w:color="auto" w:fill="auto"/>
            <w:noWrap/>
            <w:vAlign w:val="center"/>
            <w:hideMark/>
          </w:tcPr>
          <w:p w14:paraId="0BB966CD" w14:textId="77777777" w:rsidR="00387C0E" w:rsidRPr="00403D9E" w:rsidRDefault="00387C0E" w:rsidP="00387C0E">
            <w:pPr>
              <w:contextualSpacing/>
              <w:mirrorIndents/>
              <w:jc w:val="center"/>
              <w:rPr>
                <w:color w:val="212121"/>
                <w:sz w:val="20"/>
                <w:szCs w:val="20"/>
              </w:rPr>
            </w:pPr>
            <w:r w:rsidRPr="00403D9E">
              <w:rPr>
                <w:color w:val="212121"/>
                <w:sz w:val="20"/>
                <w:szCs w:val="20"/>
              </w:rPr>
              <w:t>4</w:t>
            </w:r>
          </w:p>
        </w:tc>
        <w:tc>
          <w:tcPr>
            <w:tcW w:w="1601" w:type="dxa"/>
            <w:tcBorders>
              <w:top w:val="nil"/>
              <w:left w:val="nil"/>
              <w:bottom w:val="single" w:sz="4" w:space="0" w:color="auto"/>
              <w:right w:val="single" w:sz="4" w:space="0" w:color="auto"/>
            </w:tcBorders>
            <w:shd w:val="clear" w:color="auto" w:fill="auto"/>
            <w:noWrap/>
            <w:vAlign w:val="center"/>
            <w:hideMark/>
          </w:tcPr>
          <w:p w14:paraId="62A96F9B" w14:textId="77777777" w:rsidR="00387C0E" w:rsidRPr="00403D9E" w:rsidRDefault="00387C0E" w:rsidP="00387C0E">
            <w:pPr>
              <w:contextualSpacing/>
              <w:mirrorIndents/>
              <w:jc w:val="center"/>
              <w:rPr>
                <w:color w:val="212121"/>
                <w:sz w:val="20"/>
                <w:szCs w:val="20"/>
              </w:rPr>
            </w:pPr>
            <w:r w:rsidRPr="00403D9E">
              <w:rPr>
                <w:color w:val="212121"/>
                <w:sz w:val="20"/>
                <w:szCs w:val="20"/>
              </w:rPr>
              <w:t>16</w:t>
            </w:r>
          </w:p>
        </w:tc>
        <w:tc>
          <w:tcPr>
            <w:tcW w:w="1871" w:type="dxa"/>
            <w:tcBorders>
              <w:top w:val="nil"/>
              <w:left w:val="nil"/>
              <w:bottom w:val="single" w:sz="4" w:space="0" w:color="auto"/>
              <w:right w:val="single" w:sz="4" w:space="0" w:color="auto"/>
            </w:tcBorders>
            <w:shd w:val="clear" w:color="auto" w:fill="auto"/>
            <w:noWrap/>
            <w:vAlign w:val="center"/>
            <w:hideMark/>
          </w:tcPr>
          <w:p w14:paraId="192B82CD" w14:textId="77777777" w:rsidR="00387C0E" w:rsidRPr="00403D9E" w:rsidRDefault="00387C0E" w:rsidP="00387C0E">
            <w:pPr>
              <w:contextualSpacing/>
              <w:mirrorIndents/>
              <w:jc w:val="center"/>
              <w:rPr>
                <w:color w:val="212121"/>
                <w:sz w:val="20"/>
                <w:szCs w:val="20"/>
              </w:rPr>
            </w:pPr>
            <w:r w:rsidRPr="00403D9E">
              <w:rPr>
                <w:color w:val="212121"/>
                <w:sz w:val="20"/>
                <w:szCs w:val="20"/>
              </w:rPr>
              <w:t>15</w:t>
            </w:r>
          </w:p>
        </w:tc>
        <w:tc>
          <w:tcPr>
            <w:tcW w:w="1620" w:type="dxa"/>
            <w:tcBorders>
              <w:top w:val="nil"/>
              <w:left w:val="nil"/>
              <w:bottom w:val="single" w:sz="4" w:space="0" w:color="auto"/>
              <w:right w:val="single" w:sz="4" w:space="0" w:color="auto"/>
            </w:tcBorders>
            <w:shd w:val="clear" w:color="auto" w:fill="auto"/>
            <w:noWrap/>
            <w:vAlign w:val="center"/>
            <w:hideMark/>
          </w:tcPr>
          <w:p w14:paraId="35459EC2" w14:textId="77777777" w:rsidR="00387C0E" w:rsidRPr="00403D9E" w:rsidRDefault="00387C0E" w:rsidP="00387C0E">
            <w:pPr>
              <w:contextualSpacing/>
              <w:mirrorIndents/>
              <w:jc w:val="center"/>
              <w:rPr>
                <w:color w:val="212121"/>
                <w:sz w:val="20"/>
                <w:szCs w:val="20"/>
              </w:rPr>
            </w:pPr>
            <w:r w:rsidRPr="00403D9E">
              <w:rPr>
                <w:color w:val="212121"/>
                <w:sz w:val="20"/>
                <w:szCs w:val="20"/>
              </w:rPr>
              <w:t>23</w:t>
            </w:r>
          </w:p>
        </w:tc>
      </w:tr>
      <w:tr w:rsidR="00387C0E" w:rsidRPr="00403D9E" w14:paraId="757BEEB8" w14:textId="77777777" w:rsidTr="00C76444">
        <w:trPr>
          <w:trHeight w:val="74"/>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9ED8A2A" w14:textId="77777777" w:rsidR="00387C0E" w:rsidRPr="00403D9E" w:rsidRDefault="00387C0E" w:rsidP="00387C0E">
            <w:pPr>
              <w:contextualSpacing/>
              <w:mirrorIndents/>
              <w:jc w:val="center"/>
              <w:rPr>
                <w:color w:val="212121"/>
                <w:sz w:val="20"/>
                <w:szCs w:val="20"/>
              </w:rPr>
            </w:pPr>
            <w:r w:rsidRPr="00BF6BDB">
              <w:rPr>
                <w:b/>
                <w:color w:val="212121"/>
                <w:sz w:val="20"/>
                <w:szCs w:val="20"/>
              </w:rPr>
              <w:t>Anion Gap</w:t>
            </w:r>
            <w:r w:rsidRPr="00403D9E">
              <w:rPr>
                <w:color w:val="212121"/>
                <w:sz w:val="20"/>
                <w:szCs w:val="20"/>
              </w:rPr>
              <w:t xml:space="preserve"> (mEq/L)</w:t>
            </w:r>
          </w:p>
        </w:tc>
        <w:tc>
          <w:tcPr>
            <w:tcW w:w="1260" w:type="dxa"/>
            <w:tcBorders>
              <w:top w:val="nil"/>
              <w:left w:val="nil"/>
              <w:bottom w:val="single" w:sz="4" w:space="0" w:color="auto"/>
              <w:right w:val="single" w:sz="4" w:space="0" w:color="auto"/>
            </w:tcBorders>
            <w:shd w:val="clear" w:color="auto" w:fill="auto"/>
            <w:noWrap/>
            <w:vAlign w:val="center"/>
            <w:hideMark/>
          </w:tcPr>
          <w:p w14:paraId="38DA3DE2" w14:textId="77777777" w:rsidR="00387C0E" w:rsidRPr="00403D9E" w:rsidRDefault="00387C0E" w:rsidP="00387C0E">
            <w:pPr>
              <w:contextualSpacing/>
              <w:mirrorIndents/>
              <w:jc w:val="center"/>
              <w:rPr>
                <w:color w:val="212121"/>
                <w:sz w:val="20"/>
                <w:szCs w:val="20"/>
              </w:rPr>
            </w:pPr>
            <w:r w:rsidRPr="00403D9E">
              <w:rPr>
                <w:color w:val="212121"/>
                <w:sz w:val="20"/>
                <w:szCs w:val="20"/>
              </w:rPr>
              <w:t>38</w:t>
            </w:r>
          </w:p>
        </w:tc>
        <w:tc>
          <w:tcPr>
            <w:tcW w:w="1601" w:type="dxa"/>
            <w:tcBorders>
              <w:top w:val="nil"/>
              <w:left w:val="nil"/>
              <w:bottom w:val="single" w:sz="4" w:space="0" w:color="auto"/>
              <w:right w:val="single" w:sz="4" w:space="0" w:color="auto"/>
            </w:tcBorders>
            <w:shd w:val="clear" w:color="auto" w:fill="auto"/>
            <w:noWrap/>
            <w:vAlign w:val="center"/>
            <w:hideMark/>
          </w:tcPr>
          <w:p w14:paraId="2784CBAA" w14:textId="77777777" w:rsidR="00387C0E" w:rsidRPr="00403D9E" w:rsidRDefault="00387C0E" w:rsidP="00387C0E">
            <w:pPr>
              <w:contextualSpacing/>
              <w:mirrorIndents/>
              <w:jc w:val="center"/>
              <w:rPr>
                <w:color w:val="212121"/>
                <w:sz w:val="20"/>
                <w:szCs w:val="20"/>
              </w:rPr>
            </w:pPr>
            <w:r w:rsidRPr="00403D9E">
              <w:rPr>
                <w:color w:val="212121"/>
                <w:sz w:val="20"/>
                <w:szCs w:val="20"/>
              </w:rPr>
              <w:t>20</w:t>
            </w:r>
          </w:p>
        </w:tc>
        <w:tc>
          <w:tcPr>
            <w:tcW w:w="1871" w:type="dxa"/>
            <w:tcBorders>
              <w:top w:val="nil"/>
              <w:left w:val="nil"/>
              <w:bottom w:val="single" w:sz="4" w:space="0" w:color="auto"/>
              <w:right w:val="single" w:sz="4" w:space="0" w:color="auto"/>
            </w:tcBorders>
            <w:shd w:val="clear" w:color="auto" w:fill="auto"/>
            <w:noWrap/>
            <w:vAlign w:val="center"/>
            <w:hideMark/>
          </w:tcPr>
          <w:p w14:paraId="2C85F3F4" w14:textId="77777777" w:rsidR="00387C0E" w:rsidRPr="00403D9E" w:rsidRDefault="00387C0E" w:rsidP="00387C0E">
            <w:pPr>
              <w:contextualSpacing/>
              <w:mirrorIndents/>
              <w:jc w:val="center"/>
              <w:rPr>
                <w:color w:val="212121"/>
                <w:sz w:val="20"/>
                <w:szCs w:val="20"/>
              </w:rPr>
            </w:pPr>
            <w:r w:rsidRPr="00403D9E">
              <w:rPr>
                <w:color w:val="212121"/>
                <w:sz w:val="20"/>
                <w:szCs w:val="20"/>
              </w:rPr>
              <w:t>20</w:t>
            </w:r>
          </w:p>
        </w:tc>
        <w:tc>
          <w:tcPr>
            <w:tcW w:w="1620" w:type="dxa"/>
            <w:tcBorders>
              <w:top w:val="nil"/>
              <w:left w:val="nil"/>
              <w:bottom w:val="single" w:sz="4" w:space="0" w:color="auto"/>
              <w:right w:val="single" w:sz="4" w:space="0" w:color="auto"/>
            </w:tcBorders>
            <w:shd w:val="clear" w:color="auto" w:fill="auto"/>
            <w:noWrap/>
            <w:vAlign w:val="center"/>
            <w:hideMark/>
          </w:tcPr>
          <w:p w14:paraId="29EC9E26" w14:textId="77777777" w:rsidR="00387C0E" w:rsidRPr="00403D9E" w:rsidRDefault="00387C0E" w:rsidP="00387C0E">
            <w:pPr>
              <w:contextualSpacing/>
              <w:mirrorIndents/>
              <w:jc w:val="center"/>
              <w:rPr>
                <w:color w:val="212121"/>
                <w:sz w:val="20"/>
                <w:szCs w:val="20"/>
              </w:rPr>
            </w:pPr>
            <w:r w:rsidRPr="00403D9E">
              <w:rPr>
                <w:color w:val="212121"/>
                <w:sz w:val="20"/>
                <w:szCs w:val="20"/>
              </w:rPr>
              <w:t>13</w:t>
            </w:r>
          </w:p>
        </w:tc>
      </w:tr>
      <w:tr w:rsidR="00387C0E" w:rsidRPr="00403D9E" w14:paraId="267442B5" w14:textId="77777777" w:rsidTr="00C76444">
        <w:trPr>
          <w:trHeight w:val="74"/>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E81FDA9" w14:textId="77777777" w:rsidR="00387C0E" w:rsidRPr="00403D9E" w:rsidRDefault="00387C0E" w:rsidP="00387C0E">
            <w:pPr>
              <w:contextualSpacing/>
              <w:mirrorIndents/>
              <w:jc w:val="center"/>
              <w:rPr>
                <w:color w:val="212121"/>
                <w:sz w:val="20"/>
                <w:szCs w:val="20"/>
              </w:rPr>
            </w:pPr>
            <w:r w:rsidRPr="00FF7731">
              <w:rPr>
                <w:b/>
                <w:color w:val="212121"/>
                <w:sz w:val="20"/>
                <w:szCs w:val="20"/>
              </w:rPr>
              <w:t xml:space="preserve">Creatinine </w:t>
            </w:r>
            <w:r w:rsidRPr="00403D9E">
              <w:rPr>
                <w:color w:val="212121"/>
                <w:sz w:val="20"/>
                <w:szCs w:val="20"/>
              </w:rPr>
              <w:t>(mg/dL)</w:t>
            </w:r>
          </w:p>
        </w:tc>
        <w:tc>
          <w:tcPr>
            <w:tcW w:w="1260" w:type="dxa"/>
            <w:tcBorders>
              <w:top w:val="nil"/>
              <w:left w:val="nil"/>
              <w:bottom w:val="single" w:sz="4" w:space="0" w:color="auto"/>
              <w:right w:val="single" w:sz="4" w:space="0" w:color="auto"/>
            </w:tcBorders>
            <w:shd w:val="clear" w:color="auto" w:fill="auto"/>
            <w:noWrap/>
            <w:vAlign w:val="center"/>
            <w:hideMark/>
          </w:tcPr>
          <w:p w14:paraId="4BECF6C3" w14:textId="77777777" w:rsidR="00387C0E" w:rsidRPr="00403D9E" w:rsidRDefault="00387C0E" w:rsidP="00387C0E">
            <w:pPr>
              <w:contextualSpacing/>
              <w:mirrorIndents/>
              <w:jc w:val="center"/>
              <w:rPr>
                <w:color w:val="212121"/>
                <w:sz w:val="20"/>
                <w:szCs w:val="20"/>
              </w:rPr>
            </w:pPr>
            <w:r w:rsidRPr="00403D9E">
              <w:rPr>
                <w:color w:val="212121"/>
                <w:sz w:val="20"/>
                <w:szCs w:val="20"/>
              </w:rPr>
              <w:t>2.1 (baseline 0.77)</w:t>
            </w:r>
          </w:p>
        </w:tc>
        <w:tc>
          <w:tcPr>
            <w:tcW w:w="1601" w:type="dxa"/>
            <w:tcBorders>
              <w:top w:val="nil"/>
              <w:left w:val="nil"/>
              <w:bottom w:val="single" w:sz="4" w:space="0" w:color="auto"/>
              <w:right w:val="single" w:sz="4" w:space="0" w:color="auto"/>
            </w:tcBorders>
            <w:shd w:val="clear" w:color="auto" w:fill="auto"/>
            <w:noWrap/>
            <w:vAlign w:val="center"/>
            <w:hideMark/>
          </w:tcPr>
          <w:p w14:paraId="5CC383C9" w14:textId="77777777" w:rsidR="00387C0E" w:rsidRPr="00403D9E" w:rsidRDefault="00387C0E" w:rsidP="00387C0E">
            <w:pPr>
              <w:contextualSpacing/>
              <w:mirrorIndents/>
              <w:jc w:val="center"/>
              <w:rPr>
                <w:color w:val="212121"/>
                <w:sz w:val="20"/>
                <w:szCs w:val="20"/>
              </w:rPr>
            </w:pPr>
            <w:r w:rsidRPr="00403D9E">
              <w:rPr>
                <w:color w:val="212121"/>
                <w:sz w:val="20"/>
                <w:szCs w:val="20"/>
              </w:rPr>
              <w:t>0.93</w:t>
            </w:r>
          </w:p>
        </w:tc>
        <w:tc>
          <w:tcPr>
            <w:tcW w:w="1871" w:type="dxa"/>
            <w:tcBorders>
              <w:top w:val="nil"/>
              <w:left w:val="nil"/>
              <w:bottom w:val="single" w:sz="4" w:space="0" w:color="auto"/>
              <w:right w:val="single" w:sz="4" w:space="0" w:color="auto"/>
            </w:tcBorders>
            <w:shd w:val="clear" w:color="auto" w:fill="auto"/>
            <w:noWrap/>
            <w:vAlign w:val="center"/>
            <w:hideMark/>
          </w:tcPr>
          <w:p w14:paraId="53A393E7" w14:textId="77777777" w:rsidR="00387C0E" w:rsidRPr="00403D9E" w:rsidRDefault="00387C0E" w:rsidP="00387C0E">
            <w:pPr>
              <w:contextualSpacing/>
              <w:mirrorIndents/>
              <w:jc w:val="center"/>
              <w:rPr>
                <w:color w:val="212121"/>
                <w:sz w:val="20"/>
                <w:szCs w:val="20"/>
              </w:rPr>
            </w:pPr>
            <w:r w:rsidRPr="00403D9E">
              <w:rPr>
                <w:color w:val="212121"/>
                <w:sz w:val="20"/>
                <w:szCs w:val="20"/>
              </w:rPr>
              <w:t>0.87</w:t>
            </w:r>
          </w:p>
        </w:tc>
        <w:tc>
          <w:tcPr>
            <w:tcW w:w="1620" w:type="dxa"/>
            <w:tcBorders>
              <w:top w:val="nil"/>
              <w:left w:val="nil"/>
              <w:bottom w:val="single" w:sz="4" w:space="0" w:color="auto"/>
              <w:right w:val="single" w:sz="4" w:space="0" w:color="auto"/>
            </w:tcBorders>
            <w:shd w:val="clear" w:color="auto" w:fill="auto"/>
            <w:noWrap/>
            <w:vAlign w:val="center"/>
            <w:hideMark/>
          </w:tcPr>
          <w:p w14:paraId="456DF59C" w14:textId="77777777" w:rsidR="00387C0E" w:rsidRPr="00403D9E" w:rsidRDefault="00387C0E" w:rsidP="00387C0E">
            <w:pPr>
              <w:contextualSpacing/>
              <w:mirrorIndents/>
              <w:jc w:val="center"/>
              <w:rPr>
                <w:color w:val="212121"/>
                <w:sz w:val="20"/>
                <w:szCs w:val="20"/>
              </w:rPr>
            </w:pPr>
            <w:r w:rsidRPr="00403D9E">
              <w:rPr>
                <w:color w:val="212121"/>
                <w:sz w:val="20"/>
                <w:szCs w:val="20"/>
              </w:rPr>
              <w:t>0.6</w:t>
            </w:r>
          </w:p>
        </w:tc>
      </w:tr>
      <w:tr w:rsidR="00387C0E" w:rsidRPr="00403D9E" w14:paraId="545E56DE" w14:textId="77777777" w:rsidTr="00C76444">
        <w:trPr>
          <w:trHeight w:val="74"/>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52FD5D8" w14:textId="77777777" w:rsidR="00387C0E" w:rsidRPr="00403D9E" w:rsidRDefault="00387C0E" w:rsidP="00387C0E">
            <w:pPr>
              <w:contextualSpacing/>
              <w:mirrorIndents/>
              <w:jc w:val="center"/>
              <w:rPr>
                <w:color w:val="212121"/>
                <w:sz w:val="20"/>
                <w:szCs w:val="20"/>
              </w:rPr>
            </w:pPr>
            <w:r w:rsidRPr="0056132F">
              <w:rPr>
                <w:b/>
                <w:color w:val="212121"/>
                <w:sz w:val="20"/>
                <w:szCs w:val="20"/>
              </w:rPr>
              <w:t>Glucose</w:t>
            </w:r>
            <w:r w:rsidRPr="00403D9E">
              <w:rPr>
                <w:color w:val="212121"/>
                <w:sz w:val="20"/>
                <w:szCs w:val="20"/>
              </w:rPr>
              <w:t xml:space="preserve"> (mg/dL)</w:t>
            </w:r>
          </w:p>
        </w:tc>
        <w:tc>
          <w:tcPr>
            <w:tcW w:w="1260" w:type="dxa"/>
            <w:tcBorders>
              <w:top w:val="nil"/>
              <w:left w:val="nil"/>
              <w:bottom w:val="single" w:sz="4" w:space="0" w:color="auto"/>
              <w:right w:val="single" w:sz="4" w:space="0" w:color="auto"/>
            </w:tcBorders>
            <w:shd w:val="clear" w:color="auto" w:fill="auto"/>
            <w:noWrap/>
            <w:vAlign w:val="center"/>
            <w:hideMark/>
          </w:tcPr>
          <w:p w14:paraId="272BB33C" w14:textId="77777777" w:rsidR="00387C0E" w:rsidRPr="00403D9E" w:rsidRDefault="00387C0E" w:rsidP="00387C0E">
            <w:pPr>
              <w:contextualSpacing/>
              <w:mirrorIndents/>
              <w:jc w:val="center"/>
              <w:rPr>
                <w:color w:val="212121"/>
                <w:sz w:val="20"/>
                <w:szCs w:val="20"/>
              </w:rPr>
            </w:pPr>
            <w:r w:rsidRPr="00403D9E">
              <w:rPr>
                <w:color w:val="212121"/>
                <w:sz w:val="20"/>
                <w:szCs w:val="20"/>
              </w:rPr>
              <w:t>1041</w:t>
            </w:r>
          </w:p>
        </w:tc>
        <w:tc>
          <w:tcPr>
            <w:tcW w:w="1601" w:type="dxa"/>
            <w:tcBorders>
              <w:top w:val="nil"/>
              <w:left w:val="nil"/>
              <w:bottom w:val="single" w:sz="4" w:space="0" w:color="auto"/>
              <w:right w:val="single" w:sz="4" w:space="0" w:color="auto"/>
            </w:tcBorders>
            <w:shd w:val="clear" w:color="auto" w:fill="auto"/>
            <w:noWrap/>
            <w:vAlign w:val="center"/>
            <w:hideMark/>
          </w:tcPr>
          <w:p w14:paraId="5287D0A0" w14:textId="77777777" w:rsidR="00387C0E" w:rsidRPr="00403D9E" w:rsidRDefault="00387C0E" w:rsidP="00387C0E">
            <w:pPr>
              <w:contextualSpacing/>
              <w:mirrorIndents/>
              <w:jc w:val="center"/>
              <w:rPr>
                <w:color w:val="212121"/>
                <w:sz w:val="20"/>
                <w:szCs w:val="20"/>
              </w:rPr>
            </w:pPr>
            <w:r w:rsidRPr="00403D9E">
              <w:rPr>
                <w:color w:val="212121"/>
                <w:sz w:val="20"/>
                <w:szCs w:val="20"/>
              </w:rPr>
              <w:t>245</w:t>
            </w:r>
          </w:p>
        </w:tc>
        <w:tc>
          <w:tcPr>
            <w:tcW w:w="1871" w:type="dxa"/>
            <w:tcBorders>
              <w:top w:val="nil"/>
              <w:left w:val="nil"/>
              <w:bottom w:val="single" w:sz="4" w:space="0" w:color="auto"/>
              <w:right w:val="single" w:sz="4" w:space="0" w:color="auto"/>
            </w:tcBorders>
            <w:shd w:val="clear" w:color="auto" w:fill="auto"/>
            <w:noWrap/>
            <w:vAlign w:val="center"/>
            <w:hideMark/>
          </w:tcPr>
          <w:p w14:paraId="3F5B5D12" w14:textId="77777777" w:rsidR="00387C0E" w:rsidRPr="00403D9E" w:rsidRDefault="00387C0E" w:rsidP="00387C0E">
            <w:pPr>
              <w:contextualSpacing/>
              <w:mirrorIndents/>
              <w:jc w:val="center"/>
              <w:rPr>
                <w:color w:val="212121"/>
                <w:sz w:val="20"/>
                <w:szCs w:val="20"/>
              </w:rPr>
            </w:pPr>
            <w:r w:rsidRPr="00403D9E">
              <w:rPr>
                <w:color w:val="212121"/>
                <w:sz w:val="20"/>
                <w:szCs w:val="20"/>
              </w:rPr>
              <w:t>261</w:t>
            </w:r>
          </w:p>
        </w:tc>
        <w:tc>
          <w:tcPr>
            <w:tcW w:w="1620" w:type="dxa"/>
            <w:tcBorders>
              <w:top w:val="nil"/>
              <w:left w:val="nil"/>
              <w:bottom w:val="single" w:sz="4" w:space="0" w:color="auto"/>
              <w:right w:val="single" w:sz="4" w:space="0" w:color="auto"/>
            </w:tcBorders>
            <w:shd w:val="clear" w:color="auto" w:fill="auto"/>
            <w:noWrap/>
            <w:vAlign w:val="center"/>
            <w:hideMark/>
          </w:tcPr>
          <w:p w14:paraId="2F0E584D" w14:textId="77777777" w:rsidR="00387C0E" w:rsidRPr="00403D9E" w:rsidRDefault="00387C0E" w:rsidP="00387C0E">
            <w:pPr>
              <w:contextualSpacing/>
              <w:mirrorIndents/>
              <w:jc w:val="center"/>
              <w:rPr>
                <w:color w:val="212121"/>
                <w:sz w:val="20"/>
                <w:szCs w:val="20"/>
              </w:rPr>
            </w:pPr>
            <w:r w:rsidRPr="00403D9E">
              <w:rPr>
                <w:color w:val="212121"/>
                <w:sz w:val="20"/>
                <w:szCs w:val="20"/>
              </w:rPr>
              <w:t>109</w:t>
            </w:r>
          </w:p>
        </w:tc>
      </w:tr>
      <w:tr w:rsidR="00387C0E" w:rsidRPr="00403D9E" w14:paraId="4B59755D" w14:textId="77777777" w:rsidTr="00C76444">
        <w:trPr>
          <w:trHeight w:val="74"/>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23754C5" w14:textId="77777777" w:rsidR="00387C0E" w:rsidRPr="004318F4" w:rsidRDefault="00387C0E" w:rsidP="00387C0E">
            <w:pPr>
              <w:contextualSpacing/>
              <w:mirrorIndents/>
              <w:jc w:val="center"/>
              <w:rPr>
                <w:b/>
                <w:color w:val="212121"/>
                <w:sz w:val="20"/>
                <w:szCs w:val="20"/>
              </w:rPr>
            </w:pPr>
            <w:r w:rsidRPr="004318F4">
              <w:rPr>
                <w:b/>
                <w:color w:val="212121"/>
                <w:sz w:val="20"/>
                <w:szCs w:val="20"/>
              </w:rPr>
              <w:t>Acetones</w:t>
            </w:r>
          </w:p>
        </w:tc>
        <w:tc>
          <w:tcPr>
            <w:tcW w:w="1260" w:type="dxa"/>
            <w:tcBorders>
              <w:top w:val="nil"/>
              <w:left w:val="nil"/>
              <w:bottom w:val="single" w:sz="4" w:space="0" w:color="auto"/>
              <w:right w:val="single" w:sz="4" w:space="0" w:color="auto"/>
            </w:tcBorders>
            <w:shd w:val="clear" w:color="auto" w:fill="auto"/>
            <w:noWrap/>
            <w:vAlign w:val="center"/>
            <w:hideMark/>
          </w:tcPr>
          <w:p w14:paraId="5FBBE667" w14:textId="77777777" w:rsidR="00387C0E" w:rsidRPr="00403D9E" w:rsidRDefault="00387C0E" w:rsidP="00387C0E">
            <w:pPr>
              <w:contextualSpacing/>
              <w:mirrorIndents/>
              <w:jc w:val="center"/>
              <w:rPr>
                <w:color w:val="212121"/>
                <w:sz w:val="20"/>
                <w:szCs w:val="20"/>
              </w:rPr>
            </w:pPr>
            <w:r w:rsidRPr="00403D9E">
              <w:rPr>
                <w:color w:val="212121"/>
                <w:sz w:val="20"/>
                <w:szCs w:val="20"/>
              </w:rPr>
              <w:t>Moderate</w:t>
            </w:r>
          </w:p>
        </w:tc>
        <w:tc>
          <w:tcPr>
            <w:tcW w:w="1601" w:type="dxa"/>
            <w:tcBorders>
              <w:top w:val="nil"/>
              <w:left w:val="nil"/>
              <w:bottom w:val="single" w:sz="4" w:space="0" w:color="auto"/>
              <w:right w:val="single" w:sz="4" w:space="0" w:color="auto"/>
            </w:tcBorders>
            <w:shd w:val="clear" w:color="auto" w:fill="auto"/>
            <w:noWrap/>
            <w:vAlign w:val="center"/>
            <w:hideMark/>
          </w:tcPr>
          <w:p w14:paraId="4682D948" w14:textId="77777777" w:rsidR="00387C0E" w:rsidRPr="00403D9E" w:rsidRDefault="00387C0E" w:rsidP="00387C0E">
            <w:pPr>
              <w:contextualSpacing/>
              <w:mirrorIndents/>
              <w:jc w:val="center"/>
              <w:rPr>
                <w:color w:val="000000"/>
                <w:sz w:val="20"/>
                <w:szCs w:val="20"/>
              </w:rPr>
            </w:pPr>
            <w:r w:rsidRPr="00403D9E">
              <w:rPr>
                <w:color w:val="000000"/>
                <w:sz w:val="20"/>
                <w:szCs w:val="20"/>
              </w:rPr>
              <w:t>Moderate</w:t>
            </w:r>
          </w:p>
        </w:tc>
        <w:tc>
          <w:tcPr>
            <w:tcW w:w="1871" w:type="dxa"/>
            <w:tcBorders>
              <w:top w:val="nil"/>
              <w:left w:val="nil"/>
              <w:bottom w:val="single" w:sz="4" w:space="0" w:color="auto"/>
              <w:right w:val="single" w:sz="4" w:space="0" w:color="auto"/>
            </w:tcBorders>
            <w:shd w:val="clear" w:color="auto" w:fill="auto"/>
            <w:noWrap/>
            <w:vAlign w:val="center"/>
            <w:hideMark/>
          </w:tcPr>
          <w:p w14:paraId="24D66D29" w14:textId="77777777" w:rsidR="00387C0E" w:rsidRPr="00403D9E" w:rsidRDefault="00387C0E" w:rsidP="00387C0E">
            <w:pPr>
              <w:contextualSpacing/>
              <w:mirrorIndents/>
              <w:jc w:val="center"/>
              <w:rPr>
                <w:color w:val="212121"/>
                <w:sz w:val="20"/>
                <w:szCs w:val="20"/>
              </w:rPr>
            </w:pPr>
            <w:r w:rsidRPr="00403D9E">
              <w:rPr>
                <w:color w:val="212121"/>
                <w:sz w:val="20"/>
                <w:szCs w:val="20"/>
              </w:rPr>
              <w:t>Large</w:t>
            </w:r>
          </w:p>
        </w:tc>
        <w:tc>
          <w:tcPr>
            <w:tcW w:w="1620" w:type="dxa"/>
            <w:tcBorders>
              <w:top w:val="nil"/>
              <w:left w:val="nil"/>
              <w:bottom w:val="single" w:sz="4" w:space="0" w:color="auto"/>
              <w:right w:val="single" w:sz="4" w:space="0" w:color="auto"/>
            </w:tcBorders>
            <w:shd w:val="clear" w:color="auto" w:fill="auto"/>
            <w:noWrap/>
            <w:vAlign w:val="center"/>
            <w:hideMark/>
          </w:tcPr>
          <w:p w14:paraId="512674BE" w14:textId="77777777" w:rsidR="00387C0E" w:rsidRPr="00403D9E" w:rsidRDefault="00387C0E" w:rsidP="00387C0E">
            <w:pPr>
              <w:contextualSpacing/>
              <w:mirrorIndents/>
              <w:jc w:val="center"/>
              <w:rPr>
                <w:color w:val="212121"/>
                <w:sz w:val="20"/>
                <w:szCs w:val="20"/>
              </w:rPr>
            </w:pPr>
            <w:r w:rsidRPr="00403D9E">
              <w:rPr>
                <w:color w:val="212121"/>
                <w:sz w:val="20"/>
                <w:szCs w:val="20"/>
              </w:rPr>
              <w:t>Negative</w:t>
            </w:r>
          </w:p>
        </w:tc>
      </w:tr>
      <w:tr w:rsidR="00387C0E" w:rsidRPr="00403D9E" w14:paraId="775530BC" w14:textId="77777777" w:rsidTr="00C76444">
        <w:trPr>
          <w:trHeight w:val="78"/>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1F8508B" w14:textId="77777777" w:rsidR="00387C0E" w:rsidRPr="00403D9E" w:rsidRDefault="00387C0E" w:rsidP="00387C0E">
            <w:pPr>
              <w:contextualSpacing/>
              <w:mirrorIndents/>
              <w:jc w:val="center"/>
              <w:rPr>
                <w:color w:val="212121"/>
                <w:sz w:val="20"/>
                <w:szCs w:val="20"/>
              </w:rPr>
            </w:pPr>
            <w:r w:rsidRPr="004354AE">
              <w:rPr>
                <w:b/>
                <w:color w:val="212121"/>
                <w:sz w:val="20"/>
                <w:szCs w:val="20"/>
              </w:rPr>
              <w:t>Beta-Hydroxybutyr</w:t>
            </w:r>
            <w:bookmarkStart w:id="0" w:name="_GoBack"/>
            <w:bookmarkEnd w:id="0"/>
            <w:r w:rsidRPr="004354AE">
              <w:rPr>
                <w:b/>
                <w:color w:val="212121"/>
                <w:sz w:val="20"/>
                <w:szCs w:val="20"/>
              </w:rPr>
              <w:t>ate</w:t>
            </w:r>
            <w:r w:rsidRPr="00403D9E">
              <w:rPr>
                <w:color w:val="212121"/>
                <w:sz w:val="20"/>
                <w:szCs w:val="20"/>
              </w:rPr>
              <w:t xml:space="preserve"> (mmol/L)</w:t>
            </w:r>
          </w:p>
        </w:tc>
        <w:tc>
          <w:tcPr>
            <w:tcW w:w="1260" w:type="dxa"/>
            <w:tcBorders>
              <w:top w:val="nil"/>
              <w:left w:val="nil"/>
              <w:bottom w:val="single" w:sz="4" w:space="0" w:color="auto"/>
              <w:right w:val="single" w:sz="4" w:space="0" w:color="auto"/>
            </w:tcBorders>
            <w:shd w:val="clear" w:color="auto" w:fill="auto"/>
            <w:noWrap/>
            <w:vAlign w:val="center"/>
            <w:hideMark/>
          </w:tcPr>
          <w:p w14:paraId="6E36C394" w14:textId="40739D14" w:rsidR="00387C0E" w:rsidRPr="00403D9E" w:rsidRDefault="00387C0E" w:rsidP="00387C0E">
            <w:pPr>
              <w:contextualSpacing/>
              <w:mirrorIndents/>
              <w:jc w:val="center"/>
              <w:rPr>
                <w:color w:val="000000"/>
                <w:sz w:val="20"/>
                <w:szCs w:val="20"/>
              </w:rPr>
            </w:pPr>
          </w:p>
        </w:tc>
        <w:tc>
          <w:tcPr>
            <w:tcW w:w="1601" w:type="dxa"/>
            <w:tcBorders>
              <w:top w:val="nil"/>
              <w:left w:val="nil"/>
              <w:bottom w:val="single" w:sz="4" w:space="0" w:color="auto"/>
              <w:right w:val="single" w:sz="4" w:space="0" w:color="auto"/>
            </w:tcBorders>
            <w:shd w:val="clear" w:color="auto" w:fill="auto"/>
            <w:noWrap/>
            <w:vAlign w:val="center"/>
            <w:hideMark/>
          </w:tcPr>
          <w:p w14:paraId="45F9F1DC" w14:textId="2E5DDE82" w:rsidR="00387C0E" w:rsidRPr="00403D9E" w:rsidRDefault="00387C0E" w:rsidP="00387C0E">
            <w:pPr>
              <w:contextualSpacing/>
              <w:mirrorIndents/>
              <w:jc w:val="center"/>
              <w:rPr>
                <w:color w:val="000000"/>
                <w:sz w:val="20"/>
                <w:szCs w:val="20"/>
              </w:rPr>
            </w:pPr>
          </w:p>
        </w:tc>
        <w:tc>
          <w:tcPr>
            <w:tcW w:w="1871" w:type="dxa"/>
            <w:tcBorders>
              <w:top w:val="nil"/>
              <w:left w:val="nil"/>
              <w:bottom w:val="single" w:sz="4" w:space="0" w:color="auto"/>
              <w:right w:val="single" w:sz="4" w:space="0" w:color="auto"/>
            </w:tcBorders>
            <w:shd w:val="clear" w:color="auto" w:fill="auto"/>
            <w:noWrap/>
            <w:vAlign w:val="center"/>
            <w:hideMark/>
          </w:tcPr>
          <w:p w14:paraId="20C070BF" w14:textId="622DFDB0" w:rsidR="00387C0E" w:rsidRPr="00403D9E" w:rsidRDefault="00387C0E" w:rsidP="00387C0E">
            <w:pPr>
              <w:contextualSpacing/>
              <w:mirrorIndents/>
              <w:jc w:val="center"/>
              <w:rPr>
                <w:color w:val="212121"/>
                <w:sz w:val="20"/>
                <w:szCs w:val="20"/>
              </w:rPr>
            </w:pPr>
            <w:r w:rsidRPr="00403D9E">
              <w:rPr>
                <w:color w:val="212121"/>
                <w:sz w:val="20"/>
                <w:szCs w:val="20"/>
              </w:rPr>
              <w:t>2.6</w:t>
            </w:r>
          </w:p>
        </w:tc>
        <w:tc>
          <w:tcPr>
            <w:tcW w:w="1620" w:type="dxa"/>
            <w:tcBorders>
              <w:top w:val="nil"/>
              <w:left w:val="nil"/>
              <w:bottom w:val="single" w:sz="4" w:space="0" w:color="auto"/>
              <w:right w:val="single" w:sz="4" w:space="0" w:color="auto"/>
            </w:tcBorders>
            <w:shd w:val="clear" w:color="auto" w:fill="auto"/>
            <w:noWrap/>
            <w:vAlign w:val="center"/>
            <w:hideMark/>
          </w:tcPr>
          <w:p w14:paraId="11B2117A" w14:textId="196A2853" w:rsidR="00387C0E" w:rsidRPr="00403D9E" w:rsidRDefault="00387C0E" w:rsidP="00387C0E">
            <w:pPr>
              <w:contextualSpacing/>
              <w:mirrorIndents/>
              <w:jc w:val="center"/>
              <w:rPr>
                <w:color w:val="000000"/>
                <w:sz w:val="20"/>
                <w:szCs w:val="20"/>
              </w:rPr>
            </w:pPr>
          </w:p>
        </w:tc>
      </w:tr>
    </w:tbl>
    <w:p w14:paraId="11497460" w14:textId="77777777" w:rsidR="0083717C" w:rsidRPr="00403D9E" w:rsidRDefault="0083717C" w:rsidP="00403D9E">
      <w:pPr>
        <w:contextualSpacing/>
        <w:mirrorIndents/>
        <w:jc w:val="both"/>
        <w:rPr>
          <w:sz w:val="20"/>
          <w:szCs w:val="20"/>
        </w:rPr>
      </w:pPr>
    </w:p>
    <w:p w14:paraId="4A0233E8" w14:textId="77777777" w:rsidR="0083717C" w:rsidRPr="00403D9E" w:rsidRDefault="0083717C" w:rsidP="00ED013B">
      <w:pPr>
        <w:contextualSpacing/>
        <w:mirrorIndents/>
        <w:jc w:val="center"/>
        <w:rPr>
          <w:color w:val="212121"/>
          <w:sz w:val="20"/>
          <w:szCs w:val="20"/>
        </w:rPr>
      </w:pPr>
      <w:r w:rsidRPr="00403D9E">
        <w:rPr>
          <w:b/>
          <w:color w:val="212121"/>
          <w:sz w:val="20"/>
          <w:szCs w:val="20"/>
        </w:rPr>
        <w:t>Table 1:</w:t>
      </w:r>
      <w:r w:rsidRPr="00403D9E">
        <w:rPr>
          <w:color w:val="212121"/>
          <w:sz w:val="20"/>
          <w:szCs w:val="20"/>
        </w:rPr>
        <w:t xml:space="preserve"> Pertinent labs values for case 1. The corrected sodium values accounts for serum glucose levels.</w:t>
      </w:r>
    </w:p>
    <w:p w14:paraId="5DB701CE" w14:textId="653D4DC0" w:rsidR="0083717C" w:rsidRPr="00403D9E" w:rsidRDefault="0083717C" w:rsidP="00403D9E">
      <w:pPr>
        <w:contextualSpacing/>
        <w:mirrorIndents/>
        <w:jc w:val="both"/>
        <w:rPr>
          <w:sz w:val="20"/>
          <w:szCs w:val="20"/>
        </w:rPr>
      </w:pPr>
    </w:p>
    <w:p w14:paraId="53D854BF" w14:textId="64BE72AB" w:rsidR="002A4F6F" w:rsidRDefault="00211916" w:rsidP="00403D9E">
      <w:pPr>
        <w:contextualSpacing/>
        <w:mirrorIndents/>
        <w:jc w:val="both"/>
        <w:rPr>
          <w:snapToGrid w:val="0"/>
          <w:color w:val="000000"/>
          <w:w w:val="0"/>
          <w:sz w:val="20"/>
          <w:szCs w:val="20"/>
          <w:u w:color="000000"/>
          <w:bdr w:val="none" w:sz="0" w:space="0" w:color="000000"/>
          <w:shd w:val="clear" w:color="000000" w:fill="000000"/>
          <w:lang w:val="x-none" w:eastAsia="x-none" w:bidi="x-none"/>
        </w:rPr>
      </w:pPr>
      <w:r w:rsidRPr="00403D9E">
        <w:rPr>
          <w:sz w:val="20"/>
          <w:szCs w:val="20"/>
        </w:rPr>
        <w:t>The patient received isotonic crystalloid</w:t>
      </w:r>
      <w:r w:rsidR="00046491" w:rsidRPr="00403D9E">
        <w:rPr>
          <w:sz w:val="20"/>
          <w:szCs w:val="20"/>
        </w:rPr>
        <w:t>s</w:t>
      </w:r>
      <w:r w:rsidRPr="00403D9E">
        <w:rPr>
          <w:sz w:val="20"/>
          <w:szCs w:val="20"/>
        </w:rPr>
        <w:t xml:space="preserve"> </w:t>
      </w:r>
      <w:r w:rsidR="00BB16A3" w:rsidRPr="00403D9E">
        <w:rPr>
          <w:sz w:val="20"/>
          <w:szCs w:val="20"/>
        </w:rPr>
        <w:t>and</w:t>
      </w:r>
      <w:r w:rsidRPr="00403D9E">
        <w:rPr>
          <w:sz w:val="20"/>
          <w:szCs w:val="20"/>
        </w:rPr>
        <w:t xml:space="preserve"> a titrating </w:t>
      </w:r>
      <w:r w:rsidR="00BB16A3" w:rsidRPr="00403D9E">
        <w:rPr>
          <w:sz w:val="20"/>
          <w:szCs w:val="20"/>
        </w:rPr>
        <w:t>infusion</w:t>
      </w:r>
      <w:r w:rsidRPr="00403D9E">
        <w:rPr>
          <w:sz w:val="20"/>
          <w:szCs w:val="20"/>
        </w:rPr>
        <w:t xml:space="preserve"> of intravenous insulin</w:t>
      </w:r>
      <w:r w:rsidR="00BB16A3" w:rsidRPr="00403D9E">
        <w:rPr>
          <w:sz w:val="20"/>
          <w:szCs w:val="20"/>
        </w:rPr>
        <w:t xml:space="preserve"> </w:t>
      </w:r>
      <w:r w:rsidRPr="00403D9E">
        <w:rPr>
          <w:sz w:val="20"/>
          <w:szCs w:val="20"/>
        </w:rPr>
        <w:t>per</w:t>
      </w:r>
      <w:r w:rsidR="00DC17DA" w:rsidRPr="00403D9E">
        <w:rPr>
          <w:sz w:val="20"/>
          <w:szCs w:val="20"/>
        </w:rPr>
        <w:t xml:space="preserve"> our facility’s protocol for </w:t>
      </w:r>
      <w:r w:rsidRPr="00403D9E">
        <w:rPr>
          <w:sz w:val="20"/>
          <w:szCs w:val="20"/>
        </w:rPr>
        <w:t xml:space="preserve">DKA. </w:t>
      </w:r>
      <w:r w:rsidR="00BA3349" w:rsidRPr="00403D9E">
        <w:rPr>
          <w:sz w:val="20"/>
          <w:szCs w:val="20"/>
        </w:rPr>
        <w:t>His daily insulin requ</w:t>
      </w:r>
      <w:r w:rsidR="00DC17DA" w:rsidRPr="00403D9E">
        <w:rPr>
          <w:sz w:val="20"/>
          <w:szCs w:val="20"/>
        </w:rPr>
        <w:t xml:space="preserve">irements </w:t>
      </w:r>
      <w:proofErr w:type="gramStart"/>
      <w:r w:rsidR="00DC17DA" w:rsidRPr="00403D9E">
        <w:rPr>
          <w:sz w:val="20"/>
          <w:szCs w:val="20"/>
        </w:rPr>
        <w:t xml:space="preserve">are </w:t>
      </w:r>
      <w:r w:rsidR="00FD7D1D" w:rsidRPr="00403D9E">
        <w:rPr>
          <w:sz w:val="20"/>
          <w:szCs w:val="20"/>
        </w:rPr>
        <w:t>shown</w:t>
      </w:r>
      <w:proofErr w:type="gramEnd"/>
      <w:r w:rsidR="00FD7D1D" w:rsidRPr="00403D9E">
        <w:rPr>
          <w:sz w:val="20"/>
          <w:szCs w:val="20"/>
        </w:rPr>
        <w:t xml:space="preserve"> in </w:t>
      </w:r>
      <w:r w:rsidR="003E649B" w:rsidRPr="00403D9E">
        <w:rPr>
          <w:color w:val="FF0000"/>
          <w:sz w:val="20"/>
          <w:szCs w:val="20"/>
        </w:rPr>
        <w:t>(</w:t>
      </w:r>
      <w:r w:rsidR="00BA5C14" w:rsidRPr="00403D9E">
        <w:rPr>
          <w:color w:val="FF0000"/>
          <w:sz w:val="20"/>
          <w:szCs w:val="20"/>
        </w:rPr>
        <w:t>F</w:t>
      </w:r>
      <w:r w:rsidR="00FD7D1D" w:rsidRPr="00403D9E">
        <w:rPr>
          <w:color w:val="FF0000"/>
          <w:sz w:val="20"/>
          <w:szCs w:val="20"/>
        </w:rPr>
        <w:t>igure 1</w:t>
      </w:r>
      <w:r w:rsidR="003E649B" w:rsidRPr="00403D9E">
        <w:rPr>
          <w:color w:val="FF0000"/>
          <w:sz w:val="20"/>
          <w:szCs w:val="20"/>
        </w:rPr>
        <w:t>)</w:t>
      </w:r>
      <w:r w:rsidR="00BA3349" w:rsidRPr="00403D9E">
        <w:rPr>
          <w:sz w:val="20"/>
          <w:szCs w:val="20"/>
        </w:rPr>
        <w:t xml:space="preserve">. </w:t>
      </w:r>
      <w:r w:rsidRPr="00403D9E">
        <w:rPr>
          <w:sz w:val="20"/>
          <w:szCs w:val="20"/>
        </w:rPr>
        <w:t xml:space="preserve">His </w:t>
      </w:r>
      <w:r w:rsidR="00BA3349" w:rsidRPr="00403D9E">
        <w:rPr>
          <w:sz w:val="20"/>
          <w:szCs w:val="20"/>
        </w:rPr>
        <w:t>hospital stay</w:t>
      </w:r>
      <w:r w:rsidRPr="00403D9E">
        <w:rPr>
          <w:sz w:val="20"/>
          <w:szCs w:val="20"/>
        </w:rPr>
        <w:t xml:space="preserve"> </w:t>
      </w:r>
      <w:proofErr w:type="gramStart"/>
      <w:r w:rsidRPr="00403D9E">
        <w:rPr>
          <w:sz w:val="20"/>
          <w:szCs w:val="20"/>
        </w:rPr>
        <w:t>was complicated</w:t>
      </w:r>
      <w:proofErr w:type="gramEnd"/>
      <w:r w:rsidRPr="00403D9E">
        <w:rPr>
          <w:sz w:val="20"/>
          <w:szCs w:val="20"/>
        </w:rPr>
        <w:t xml:space="preserve"> by a prolonged course of DKA refractory to traditional management. </w:t>
      </w:r>
      <w:r w:rsidR="00374A27" w:rsidRPr="00403D9E">
        <w:rPr>
          <w:sz w:val="20"/>
          <w:szCs w:val="20"/>
        </w:rPr>
        <w:t>By</w:t>
      </w:r>
      <w:r w:rsidR="00841BED" w:rsidRPr="00403D9E">
        <w:rPr>
          <w:sz w:val="20"/>
          <w:szCs w:val="20"/>
        </w:rPr>
        <w:t xml:space="preserve"> ICU day 4, the patient’s intravenous insulin requirements had substantially decreased </w:t>
      </w:r>
      <w:r w:rsidR="00BA5C14" w:rsidRPr="00403D9E">
        <w:rPr>
          <w:color w:val="FF0000"/>
          <w:sz w:val="20"/>
          <w:szCs w:val="20"/>
        </w:rPr>
        <w:t>(T</w:t>
      </w:r>
      <w:r w:rsidR="00841BED" w:rsidRPr="00403D9E">
        <w:rPr>
          <w:color w:val="FF0000"/>
          <w:sz w:val="20"/>
          <w:szCs w:val="20"/>
        </w:rPr>
        <w:t xml:space="preserve">able </w:t>
      </w:r>
      <w:r w:rsidR="003231BF" w:rsidRPr="00403D9E">
        <w:rPr>
          <w:color w:val="FF0000"/>
          <w:sz w:val="20"/>
          <w:szCs w:val="20"/>
        </w:rPr>
        <w:t>2)</w:t>
      </w:r>
      <w:r w:rsidR="00841BED" w:rsidRPr="00403D9E">
        <w:rPr>
          <w:sz w:val="20"/>
          <w:szCs w:val="20"/>
        </w:rPr>
        <w:t xml:space="preserve">, and </w:t>
      </w:r>
      <w:r w:rsidR="00BA3349" w:rsidRPr="00403D9E">
        <w:rPr>
          <w:sz w:val="20"/>
          <w:szCs w:val="20"/>
        </w:rPr>
        <w:t>by</w:t>
      </w:r>
      <w:r w:rsidR="00841BED" w:rsidRPr="00403D9E">
        <w:rPr>
          <w:sz w:val="20"/>
          <w:szCs w:val="20"/>
        </w:rPr>
        <w:t xml:space="preserve"> </w:t>
      </w:r>
      <w:r w:rsidRPr="00403D9E">
        <w:rPr>
          <w:sz w:val="20"/>
          <w:szCs w:val="20"/>
        </w:rPr>
        <w:t xml:space="preserve">day 5, </w:t>
      </w:r>
      <w:r w:rsidR="00841BED" w:rsidRPr="00403D9E">
        <w:rPr>
          <w:sz w:val="20"/>
          <w:szCs w:val="20"/>
        </w:rPr>
        <w:t xml:space="preserve">his </w:t>
      </w:r>
      <w:r w:rsidRPr="00403D9E">
        <w:rPr>
          <w:sz w:val="20"/>
          <w:szCs w:val="20"/>
        </w:rPr>
        <w:t>anion gap was resolving</w:t>
      </w:r>
      <w:r w:rsidR="00046491" w:rsidRPr="00403D9E">
        <w:rPr>
          <w:sz w:val="20"/>
          <w:szCs w:val="20"/>
        </w:rPr>
        <w:t xml:space="preserve"> </w:t>
      </w:r>
      <w:r w:rsidRPr="00403D9E">
        <w:rPr>
          <w:sz w:val="20"/>
          <w:szCs w:val="20"/>
        </w:rPr>
        <w:t xml:space="preserve">and </w:t>
      </w:r>
      <w:r w:rsidR="00BB16A3" w:rsidRPr="00403D9E">
        <w:rPr>
          <w:sz w:val="20"/>
          <w:szCs w:val="20"/>
        </w:rPr>
        <w:t xml:space="preserve">his </w:t>
      </w:r>
      <w:r w:rsidRPr="00403D9E">
        <w:rPr>
          <w:sz w:val="20"/>
          <w:szCs w:val="20"/>
        </w:rPr>
        <w:t>serum bicarbonate was improvin</w:t>
      </w:r>
      <w:r w:rsidR="00DC17DA" w:rsidRPr="00403D9E">
        <w:rPr>
          <w:sz w:val="20"/>
          <w:szCs w:val="20"/>
        </w:rPr>
        <w:t xml:space="preserve">g. </w:t>
      </w:r>
      <w:r w:rsidR="00AE3C4B" w:rsidRPr="00403D9E">
        <w:rPr>
          <w:sz w:val="20"/>
          <w:szCs w:val="20"/>
        </w:rPr>
        <w:t>After consultation with endocrinology, a</w:t>
      </w:r>
      <w:r w:rsidR="00841BED" w:rsidRPr="00403D9E">
        <w:rPr>
          <w:sz w:val="20"/>
          <w:szCs w:val="20"/>
        </w:rPr>
        <w:t xml:space="preserve">n attempt </w:t>
      </w:r>
      <w:proofErr w:type="gramStart"/>
      <w:r w:rsidR="00841BED" w:rsidRPr="00403D9E">
        <w:rPr>
          <w:sz w:val="20"/>
          <w:szCs w:val="20"/>
        </w:rPr>
        <w:t>was made</w:t>
      </w:r>
      <w:proofErr w:type="gramEnd"/>
      <w:r w:rsidR="00841BED" w:rsidRPr="00403D9E">
        <w:rPr>
          <w:sz w:val="20"/>
          <w:szCs w:val="20"/>
        </w:rPr>
        <w:t xml:space="preserve"> to </w:t>
      </w:r>
      <w:r w:rsidR="000D0893" w:rsidRPr="00403D9E">
        <w:rPr>
          <w:sz w:val="20"/>
          <w:szCs w:val="20"/>
        </w:rPr>
        <w:t>discontinue the insulin infusion and</w:t>
      </w:r>
      <w:r w:rsidRPr="00403D9E">
        <w:rPr>
          <w:sz w:val="20"/>
          <w:szCs w:val="20"/>
        </w:rPr>
        <w:t xml:space="preserve"> transition to insulin</w:t>
      </w:r>
      <w:r w:rsidR="00374A27" w:rsidRPr="00403D9E">
        <w:rPr>
          <w:sz w:val="20"/>
          <w:szCs w:val="20"/>
        </w:rPr>
        <w:t xml:space="preserve"> glargine</w:t>
      </w:r>
      <w:r w:rsidRPr="00403D9E">
        <w:rPr>
          <w:sz w:val="20"/>
          <w:szCs w:val="20"/>
        </w:rPr>
        <w:t xml:space="preserve">. </w:t>
      </w:r>
      <w:r w:rsidR="00BB0874" w:rsidRPr="00403D9E">
        <w:rPr>
          <w:sz w:val="20"/>
          <w:szCs w:val="20"/>
        </w:rPr>
        <w:t>Several</w:t>
      </w:r>
      <w:r w:rsidRPr="00403D9E">
        <w:rPr>
          <w:sz w:val="20"/>
          <w:szCs w:val="20"/>
        </w:rPr>
        <w:t xml:space="preserve"> hours </w:t>
      </w:r>
      <w:r w:rsidR="00AB5CD8" w:rsidRPr="00403D9E">
        <w:rPr>
          <w:sz w:val="20"/>
          <w:szCs w:val="20"/>
        </w:rPr>
        <w:t>later</w:t>
      </w:r>
      <w:r w:rsidRPr="00403D9E">
        <w:rPr>
          <w:sz w:val="20"/>
          <w:szCs w:val="20"/>
        </w:rPr>
        <w:t xml:space="preserve">, he developed a worsening metabolic acidosis along with </w:t>
      </w:r>
      <w:r w:rsidR="00AE3C4B" w:rsidRPr="00403D9E">
        <w:rPr>
          <w:sz w:val="20"/>
          <w:szCs w:val="20"/>
        </w:rPr>
        <w:t xml:space="preserve">a recrudescence </w:t>
      </w:r>
      <w:r w:rsidRPr="00403D9E">
        <w:rPr>
          <w:sz w:val="20"/>
          <w:szCs w:val="20"/>
        </w:rPr>
        <w:t xml:space="preserve">of acetones </w:t>
      </w:r>
      <w:r w:rsidR="00046491" w:rsidRPr="00403D9E">
        <w:rPr>
          <w:sz w:val="20"/>
          <w:szCs w:val="20"/>
        </w:rPr>
        <w:t xml:space="preserve">and </w:t>
      </w:r>
      <w:r w:rsidRPr="00403D9E">
        <w:rPr>
          <w:sz w:val="20"/>
          <w:szCs w:val="20"/>
        </w:rPr>
        <w:t>beta-hydroxybutyrate</w:t>
      </w:r>
      <w:r w:rsidR="00F7202D" w:rsidRPr="00403D9E">
        <w:rPr>
          <w:sz w:val="20"/>
          <w:szCs w:val="20"/>
        </w:rPr>
        <w:t xml:space="preserve"> in the serum</w:t>
      </w:r>
      <w:r w:rsidRPr="00403D9E">
        <w:rPr>
          <w:sz w:val="20"/>
          <w:szCs w:val="20"/>
        </w:rPr>
        <w:t xml:space="preserve">. </w:t>
      </w:r>
      <w:r w:rsidR="001626E1" w:rsidRPr="00403D9E">
        <w:rPr>
          <w:sz w:val="20"/>
          <w:szCs w:val="20"/>
        </w:rPr>
        <w:t>I</w:t>
      </w:r>
      <w:r w:rsidRPr="00403D9E">
        <w:rPr>
          <w:sz w:val="20"/>
          <w:szCs w:val="20"/>
        </w:rPr>
        <w:t xml:space="preserve">ntravenous insulin </w:t>
      </w:r>
      <w:r w:rsidR="001626E1" w:rsidRPr="00403D9E">
        <w:rPr>
          <w:sz w:val="20"/>
          <w:szCs w:val="20"/>
        </w:rPr>
        <w:t xml:space="preserve">infusion </w:t>
      </w:r>
      <w:r w:rsidRPr="00403D9E">
        <w:rPr>
          <w:sz w:val="20"/>
          <w:szCs w:val="20"/>
        </w:rPr>
        <w:t>and crystallo</w:t>
      </w:r>
      <w:r w:rsidR="00DC17DA" w:rsidRPr="00403D9E">
        <w:rPr>
          <w:sz w:val="20"/>
          <w:szCs w:val="20"/>
        </w:rPr>
        <w:t>ids</w:t>
      </w:r>
      <w:r w:rsidR="001626E1" w:rsidRPr="00403D9E">
        <w:rPr>
          <w:sz w:val="20"/>
          <w:szCs w:val="20"/>
        </w:rPr>
        <w:t xml:space="preserve"> </w:t>
      </w:r>
      <w:proofErr w:type="gramStart"/>
      <w:r w:rsidR="001626E1" w:rsidRPr="00403D9E">
        <w:rPr>
          <w:sz w:val="20"/>
          <w:szCs w:val="20"/>
        </w:rPr>
        <w:t>were reinitiated</w:t>
      </w:r>
      <w:proofErr w:type="gramEnd"/>
      <w:r w:rsidR="00DC17DA" w:rsidRPr="00403D9E">
        <w:rPr>
          <w:sz w:val="20"/>
          <w:szCs w:val="20"/>
        </w:rPr>
        <w:t>. He continued to remain persistently</w:t>
      </w:r>
      <w:r w:rsidR="00A75927" w:rsidRPr="00403D9E">
        <w:rPr>
          <w:sz w:val="20"/>
          <w:szCs w:val="20"/>
        </w:rPr>
        <w:t xml:space="preserve"> </w:t>
      </w:r>
      <w:r w:rsidR="00AB5CD8" w:rsidRPr="00403D9E">
        <w:rPr>
          <w:sz w:val="20"/>
          <w:szCs w:val="20"/>
        </w:rPr>
        <w:t>ac</w:t>
      </w:r>
      <w:r w:rsidR="00A75927" w:rsidRPr="00403D9E">
        <w:rPr>
          <w:sz w:val="20"/>
          <w:szCs w:val="20"/>
        </w:rPr>
        <w:t>i</w:t>
      </w:r>
      <w:r w:rsidR="00AB5CD8" w:rsidRPr="00403D9E">
        <w:rPr>
          <w:sz w:val="20"/>
          <w:szCs w:val="20"/>
        </w:rPr>
        <w:t>demic over the next six days</w:t>
      </w:r>
      <w:r w:rsidR="0040174F" w:rsidRPr="00403D9E">
        <w:rPr>
          <w:sz w:val="20"/>
          <w:szCs w:val="20"/>
        </w:rPr>
        <w:t xml:space="preserve"> and </w:t>
      </w:r>
      <w:r w:rsidR="00AE1D8A" w:rsidRPr="00403D9E">
        <w:rPr>
          <w:sz w:val="20"/>
          <w:szCs w:val="20"/>
        </w:rPr>
        <w:t>required</w:t>
      </w:r>
      <w:r w:rsidR="0040174F" w:rsidRPr="00403D9E">
        <w:rPr>
          <w:sz w:val="20"/>
          <w:szCs w:val="20"/>
        </w:rPr>
        <w:t xml:space="preserve"> trea</w:t>
      </w:r>
      <w:r w:rsidR="00AB5CD8" w:rsidRPr="00403D9E">
        <w:rPr>
          <w:sz w:val="20"/>
          <w:szCs w:val="20"/>
        </w:rPr>
        <w:t>tment</w:t>
      </w:r>
      <w:r w:rsidR="0040174F" w:rsidRPr="00403D9E">
        <w:rPr>
          <w:sz w:val="20"/>
          <w:szCs w:val="20"/>
        </w:rPr>
        <w:t xml:space="preserve"> with </w:t>
      </w:r>
      <w:r w:rsidR="00AE1D8A" w:rsidRPr="00403D9E">
        <w:rPr>
          <w:sz w:val="20"/>
          <w:szCs w:val="20"/>
        </w:rPr>
        <w:t xml:space="preserve">a </w:t>
      </w:r>
      <w:r w:rsidR="0040174F" w:rsidRPr="00403D9E">
        <w:rPr>
          <w:sz w:val="20"/>
          <w:szCs w:val="20"/>
        </w:rPr>
        <w:t>bicarbonate infusion and titrating intravenous insulin</w:t>
      </w:r>
      <w:r w:rsidRPr="00403D9E">
        <w:rPr>
          <w:sz w:val="20"/>
          <w:szCs w:val="20"/>
        </w:rPr>
        <w:t xml:space="preserve">. </w:t>
      </w:r>
      <w:r w:rsidR="00F7202D" w:rsidRPr="00403D9E">
        <w:rPr>
          <w:sz w:val="20"/>
          <w:szCs w:val="20"/>
        </w:rPr>
        <w:t>By</w:t>
      </w:r>
      <w:r w:rsidRPr="00403D9E">
        <w:rPr>
          <w:sz w:val="20"/>
          <w:szCs w:val="20"/>
        </w:rPr>
        <w:t xml:space="preserve"> ICU day 10, </w:t>
      </w:r>
      <w:r w:rsidR="00F7202D" w:rsidRPr="00403D9E">
        <w:rPr>
          <w:sz w:val="20"/>
          <w:szCs w:val="20"/>
        </w:rPr>
        <w:t>he</w:t>
      </w:r>
      <w:r w:rsidRPr="00403D9E">
        <w:rPr>
          <w:sz w:val="20"/>
          <w:szCs w:val="20"/>
        </w:rPr>
        <w:t xml:space="preserve"> </w:t>
      </w:r>
      <w:proofErr w:type="gramStart"/>
      <w:r w:rsidRPr="00403D9E">
        <w:rPr>
          <w:sz w:val="20"/>
          <w:szCs w:val="20"/>
        </w:rPr>
        <w:t>was started</w:t>
      </w:r>
      <w:proofErr w:type="gramEnd"/>
      <w:r w:rsidRPr="00403D9E">
        <w:rPr>
          <w:sz w:val="20"/>
          <w:szCs w:val="20"/>
        </w:rPr>
        <w:t xml:space="preserve"> on subcutaneous insulin </w:t>
      </w:r>
      <w:r w:rsidR="00F70710" w:rsidRPr="00403D9E">
        <w:rPr>
          <w:sz w:val="20"/>
          <w:szCs w:val="20"/>
        </w:rPr>
        <w:t xml:space="preserve">glargine </w:t>
      </w:r>
      <w:r w:rsidRPr="00403D9E">
        <w:rPr>
          <w:sz w:val="20"/>
          <w:szCs w:val="20"/>
        </w:rPr>
        <w:t>in addition to intravenous insulin given</w:t>
      </w:r>
      <w:r w:rsidR="0040174F" w:rsidRPr="00403D9E">
        <w:rPr>
          <w:sz w:val="20"/>
          <w:szCs w:val="20"/>
        </w:rPr>
        <w:t xml:space="preserve"> his persistent acidemia</w:t>
      </w:r>
      <w:r w:rsidRPr="00403D9E">
        <w:rPr>
          <w:sz w:val="20"/>
          <w:szCs w:val="20"/>
        </w:rPr>
        <w:t xml:space="preserve">. </w:t>
      </w:r>
      <w:r w:rsidR="00CC3C3A" w:rsidRPr="00403D9E">
        <w:rPr>
          <w:sz w:val="20"/>
          <w:szCs w:val="20"/>
        </w:rPr>
        <w:t>The following day,</w:t>
      </w:r>
      <w:r w:rsidRPr="00403D9E">
        <w:rPr>
          <w:sz w:val="20"/>
          <w:szCs w:val="20"/>
        </w:rPr>
        <w:t xml:space="preserve"> his anion gap resolved</w:t>
      </w:r>
      <w:r w:rsidR="00046491" w:rsidRPr="00403D9E">
        <w:rPr>
          <w:sz w:val="20"/>
          <w:szCs w:val="20"/>
        </w:rPr>
        <w:t xml:space="preserve"> </w:t>
      </w:r>
      <w:r w:rsidRPr="00403D9E">
        <w:rPr>
          <w:sz w:val="20"/>
          <w:szCs w:val="20"/>
        </w:rPr>
        <w:t xml:space="preserve">and </w:t>
      </w:r>
      <w:r w:rsidR="0040174F" w:rsidRPr="00403D9E">
        <w:rPr>
          <w:sz w:val="20"/>
          <w:szCs w:val="20"/>
        </w:rPr>
        <w:t xml:space="preserve">the </w:t>
      </w:r>
      <w:r w:rsidRPr="00403D9E">
        <w:rPr>
          <w:sz w:val="20"/>
          <w:szCs w:val="20"/>
        </w:rPr>
        <w:t xml:space="preserve">serum bicarbonate normalized </w:t>
      </w:r>
      <w:r w:rsidR="00CC3C3A" w:rsidRPr="00403D9E">
        <w:rPr>
          <w:color w:val="FF0000"/>
          <w:sz w:val="20"/>
          <w:szCs w:val="20"/>
        </w:rPr>
        <w:t>(</w:t>
      </w:r>
      <w:r w:rsidR="00A3278E" w:rsidRPr="00403D9E">
        <w:rPr>
          <w:color w:val="FF0000"/>
          <w:sz w:val="20"/>
          <w:szCs w:val="20"/>
        </w:rPr>
        <w:t>T</w:t>
      </w:r>
      <w:r w:rsidRPr="00403D9E">
        <w:rPr>
          <w:color w:val="FF0000"/>
          <w:sz w:val="20"/>
          <w:szCs w:val="20"/>
        </w:rPr>
        <w:t>able 1</w:t>
      </w:r>
      <w:r w:rsidR="00CC3C3A" w:rsidRPr="00403D9E">
        <w:rPr>
          <w:color w:val="FF0000"/>
          <w:sz w:val="20"/>
          <w:szCs w:val="20"/>
        </w:rPr>
        <w:t>)</w:t>
      </w:r>
      <w:r w:rsidRPr="00403D9E">
        <w:rPr>
          <w:sz w:val="20"/>
          <w:szCs w:val="20"/>
        </w:rPr>
        <w:t xml:space="preserve">. He </w:t>
      </w:r>
      <w:proofErr w:type="gramStart"/>
      <w:r w:rsidRPr="00403D9E">
        <w:rPr>
          <w:sz w:val="20"/>
          <w:szCs w:val="20"/>
        </w:rPr>
        <w:t xml:space="preserve">was </w:t>
      </w:r>
      <w:r w:rsidR="00046491" w:rsidRPr="00403D9E">
        <w:rPr>
          <w:sz w:val="20"/>
          <w:szCs w:val="20"/>
        </w:rPr>
        <w:t>successfully</w:t>
      </w:r>
      <w:r w:rsidRPr="00403D9E">
        <w:rPr>
          <w:sz w:val="20"/>
          <w:szCs w:val="20"/>
        </w:rPr>
        <w:t xml:space="preserve"> transitioned</w:t>
      </w:r>
      <w:proofErr w:type="gramEnd"/>
      <w:r w:rsidRPr="00403D9E">
        <w:rPr>
          <w:sz w:val="20"/>
          <w:szCs w:val="20"/>
        </w:rPr>
        <w:t xml:space="preserve"> to subcutaneous </w:t>
      </w:r>
      <w:r w:rsidR="00F6456F" w:rsidRPr="00403D9E">
        <w:rPr>
          <w:sz w:val="20"/>
          <w:szCs w:val="20"/>
        </w:rPr>
        <w:t>glargine</w:t>
      </w:r>
      <w:r w:rsidR="004B7C75" w:rsidRPr="00403D9E">
        <w:rPr>
          <w:sz w:val="20"/>
          <w:szCs w:val="20"/>
        </w:rPr>
        <w:t xml:space="preserve"> and lispro </w:t>
      </w:r>
      <w:r w:rsidRPr="00403D9E">
        <w:rPr>
          <w:sz w:val="20"/>
          <w:szCs w:val="20"/>
        </w:rPr>
        <w:t xml:space="preserve">with adequate control of his blood sugars and resolution of DKA. He </w:t>
      </w:r>
      <w:proofErr w:type="gramStart"/>
      <w:r w:rsidRPr="00403D9E">
        <w:rPr>
          <w:sz w:val="20"/>
          <w:szCs w:val="20"/>
        </w:rPr>
        <w:t>was transferred from the ICU on day 11</w:t>
      </w:r>
      <w:r w:rsidR="004B7C75" w:rsidRPr="00403D9E">
        <w:rPr>
          <w:sz w:val="20"/>
          <w:szCs w:val="20"/>
        </w:rPr>
        <w:t>,</w:t>
      </w:r>
      <w:r w:rsidRPr="00403D9E">
        <w:rPr>
          <w:sz w:val="20"/>
          <w:szCs w:val="20"/>
        </w:rPr>
        <w:t xml:space="preserve"> and discharged from the hospital 14 days </w:t>
      </w:r>
      <w:r w:rsidR="00F05DBC" w:rsidRPr="00403D9E">
        <w:rPr>
          <w:sz w:val="20"/>
          <w:szCs w:val="20"/>
        </w:rPr>
        <w:t>after his initial presentation</w:t>
      </w:r>
      <w:proofErr w:type="gramEnd"/>
      <w:r w:rsidR="00F05DBC" w:rsidRPr="00403D9E">
        <w:rPr>
          <w:sz w:val="20"/>
          <w:szCs w:val="20"/>
        </w:rPr>
        <w:t>.</w:t>
      </w:r>
      <w:r w:rsidR="002A4F6F" w:rsidRPr="00403D9E">
        <w:rPr>
          <w:snapToGrid w:val="0"/>
          <w:color w:val="000000"/>
          <w:w w:val="0"/>
          <w:sz w:val="20"/>
          <w:szCs w:val="20"/>
          <w:u w:color="000000"/>
          <w:bdr w:val="none" w:sz="0" w:space="0" w:color="000000"/>
          <w:shd w:val="clear" w:color="000000" w:fill="000000"/>
          <w:lang w:val="x-none" w:eastAsia="x-none" w:bidi="x-none"/>
        </w:rPr>
        <w:t xml:space="preserve"> </w:t>
      </w:r>
    </w:p>
    <w:p w14:paraId="79420141" w14:textId="77777777" w:rsidR="00551424" w:rsidRPr="00403D9E" w:rsidRDefault="00551424" w:rsidP="00403D9E">
      <w:pPr>
        <w:contextualSpacing/>
        <w:mirrorIndents/>
        <w:jc w:val="both"/>
        <w:rPr>
          <w:snapToGrid w:val="0"/>
          <w:color w:val="000000"/>
          <w:w w:val="0"/>
          <w:sz w:val="20"/>
          <w:szCs w:val="20"/>
          <w:u w:color="000000"/>
          <w:bdr w:val="none" w:sz="0" w:space="0" w:color="000000"/>
          <w:shd w:val="clear" w:color="000000" w:fill="000000"/>
          <w:lang w:val="x-none" w:eastAsia="x-none" w:bidi="x-none"/>
        </w:rPr>
      </w:pPr>
    </w:p>
    <w:p w14:paraId="768FA35A" w14:textId="450D9328" w:rsidR="000E1EFA" w:rsidRPr="00403D9E" w:rsidRDefault="002A4F6F" w:rsidP="00551424">
      <w:pPr>
        <w:contextualSpacing/>
        <w:mirrorIndents/>
        <w:jc w:val="center"/>
        <w:rPr>
          <w:sz w:val="20"/>
          <w:szCs w:val="20"/>
        </w:rPr>
      </w:pPr>
      <w:r w:rsidRPr="00403D9E">
        <w:rPr>
          <w:noProof/>
          <w:sz w:val="20"/>
          <w:szCs w:val="20"/>
        </w:rPr>
        <w:drawing>
          <wp:inline distT="0" distB="0" distL="0" distR="0" wp14:anchorId="359BD150" wp14:editId="1C9CD8ED">
            <wp:extent cx="3625221" cy="1979874"/>
            <wp:effectExtent l="0" t="0" r="0" b="1905"/>
            <wp:docPr id="5" name="Picture 5" descr="C:\Users\DELL\Downloads\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wnloads\Fig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910" cy="1984073"/>
                    </a:xfrm>
                    <a:prstGeom prst="rect">
                      <a:avLst/>
                    </a:prstGeom>
                    <a:noFill/>
                    <a:ln>
                      <a:noFill/>
                    </a:ln>
                  </pic:spPr>
                </pic:pic>
              </a:graphicData>
            </a:graphic>
          </wp:inline>
        </w:drawing>
      </w:r>
    </w:p>
    <w:p w14:paraId="4EB31E25" w14:textId="77777777" w:rsidR="002A4F6F" w:rsidRPr="00403D9E" w:rsidRDefault="002A4F6F" w:rsidP="00403D9E">
      <w:pPr>
        <w:contextualSpacing/>
        <w:mirrorIndents/>
        <w:jc w:val="both"/>
        <w:rPr>
          <w:sz w:val="20"/>
          <w:szCs w:val="20"/>
        </w:rPr>
      </w:pPr>
    </w:p>
    <w:p w14:paraId="05EC0C61" w14:textId="77777777" w:rsidR="000E1EFA" w:rsidRPr="00403D9E" w:rsidRDefault="000E1EFA" w:rsidP="00403D9E">
      <w:pPr>
        <w:contextualSpacing/>
        <w:mirrorIndents/>
        <w:jc w:val="both"/>
        <w:rPr>
          <w:sz w:val="20"/>
          <w:szCs w:val="20"/>
        </w:rPr>
      </w:pPr>
      <w:r w:rsidRPr="00403D9E">
        <w:rPr>
          <w:b/>
          <w:sz w:val="20"/>
          <w:szCs w:val="20"/>
        </w:rPr>
        <w:t>Figure 1:</w:t>
      </w:r>
      <w:r w:rsidRPr="00403D9E">
        <w:rPr>
          <w:sz w:val="20"/>
          <w:szCs w:val="20"/>
        </w:rPr>
        <w:t xml:space="preserve"> Total daily units of insulin for case 1. Intravenous insulin </w:t>
      </w:r>
      <w:proofErr w:type="gramStart"/>
      <w:r w:rsidRPr="00403D9E">
        <w:rPr>
          <w:sz w:val="20"/>
          <w:szCs w:val="20"/>
        </w:rPr>
        <w:t>is represented</w:t>
      </w:r>
      <w:proofErr w:type="gramEnd"/>
      <w:r w:rsidRPr="00403D9E">
        <w:rPr>
          <w:sz w:val="20"/>
          <w:szCs w:val="20"/>
        </w:rPr>
        <w:t xml:space="preserve"> in blue, glargine in orange, and lispro in gray. On day 5, subcutaneous insulin </w:t>
      </w:r>
      <w:proofErr w:type="gramStart"/>
      <w:r w:rsidRPr="00403D9E">
        <w:rPr>
          <w:sz w:val="20"/>
          <w:szCs w:val="20"/>
        </w:rPr>
        <w:t>was administered</w:t>
      </w:r>
      <w:proofErr w:type="gramEnd"/>
      <w:r w:rsidRPr="00403D9E">
        <w:rPr>
          <w:sz w:val="20"/>
          <w:szCs w:val="20"/>
        </w:rPr>
        <w:t xml:space="preserve"> in an attempt to transition from intravenous insulin, however intravenous insulin was restarted due to recurrence of DKA. </w:t>
      </w:r>
    </w:p>
    <w:p w14:paraId="2D968656" w14:textId="4E12218B" w:rsidR="00F05DBC" w:rsidRPr="00403D9E" w:rsidRDefault="00F05DBC" w:rsidP="00403D9E">
      <w:pPr>
        <w:contextualSpacing/>
        <w:mirrorIndents/>
        <w:jc w:val="both"/>
        <w:rPr>
          <w:sz w:val="20"/>
          <w:szCs w:val="20"/>
        </w:rPr>
      </w:pPr>
    </w:p>
    <w:tbl>
      <w:tblPr>
        <w:tblW w:w="8976" w:type="dxa"/>
        <w:tblInd w:w="-5" w:type="dxa"/>
        <w:tblLook w:val="04A0" w:firstRow="1" w:lastRow="0" w:firstColumn="1" w:lastColumn="0" w:noHBand="0" w:noVBand="1"/>
      </w:tblPr>
      <w:tblGrid>
        <w:gridCol w:w="2078"/>
        <w:gridCol w:w="1331"/>
        <w:gridCol w:w="1383"/>
        <w:gridCol w:w="1400"/>
        <w:gridCol w:w="1487"/>
        <w:gridCol w:w="1297"/>
      </w:tblGrid>
      <w:tr w:rsidR="00D85C34" w:rsidRPr="00D85C34" w14:paraId="05347A55" w14:textId="77777777" w:rsidTr="00C718A6">
        <w:trPr>
          <w:trHeight w:val="209"/>
        </w:trPr>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7BBBA" w14:textId="77777777" w:rsidR="00D85C34" w:rsidRPr="00D85C34" w:rsidRDefault="00D85C34" w:rsidP="00D85C34">
            <w:pPr>
              <w:jc w:val="center"/>
              <w:rPr>
                <w:color w:val="000000"/>
                <w:sz w:val="20"/>
                <w:szCs w:val="20"/>
              </w:rPr>
            </w:pPr>
            <w:r w:rsidRPr="00D85C34">
              <w:rPr>
                <w:color w:val="000000"/>
                <w:sz w:val="20"/>
                <w:szCs w:val="20"/>
              </w:rPr>
              <w:t> </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14:paraId="1C39A51D" w14:textId="77777777" w:rsidR="00D85C34" w:rsidRPr="00D85C34" w:rsidRDefault="00D85C34" w:rsidP="00D85C34">
            <w:pPr>
              <w:jc w:val="center"/>
              <w:rPr>
                <w:b/>
                <w:color w:val="212121"/>
                <w:sz w:val="20"/>
                <w:szCs w:val="20"/>
              </w:rPr>
            </w:pPr>
            <w:r w:rsidRPr="00D85C34">
              <w:rPr>
                <w:b/>
                <w:color w:val="212121"/>
                <w:sz w:val="20"/>
                <w:szCs w:val="20"/>
              </w:rPr>
              <w:t>Admission Labs</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6A801B81" w14:textId="77777777" w:rsidR="00D85C34" w:rsidRPr="00D85C34" w:rsidRDefault="00D85C34" w:rsidP="00D85C34">
            <w:pPr>
              <w:jc w:val="center"/>
              <w:rPr>
                <w:b/>
                <w:color w:val="212121"/>
                <w:sz w:val="20"/>
                <w:szCs w:val="20"/>
              </w:rPr>
            </w:pPr>
            <w:r w:rsidRPr="00D85C34">
              <w:rPr>
                <w:b/>
                <w:color w:val="212121"/>
                <w:sz w:val="20"/>
                <w:szCs w:val="20"/>
              </w:rPr>
              <w:t>ICU Day 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FAC1920" w14:textId="77777777" w:rsidR="00D85C34" w:rsidRPr="00D85C34" w:rsidRDefault="00D85C34" w:rsidP="00D85C34">
            <w:pPr>
              <w:jc w:val="center"/>
              <w:rPr>
                <w:color w:val="000000"/>
                <w:sz w:val="20"/>
                <w:szCs w:val="20"/>
              </w:rPr>
            </w:pPr>
            <w:r w:rsidRPr="00D85C34">
              <w:rPr>
                <w:b/>
                <w:color w:val="000000"/>
                <w:sz w:val="20"/>
                <w:szCs w:val="20"/>
              </w:rPr>
              <w:t>ICU Day 8:</w:t>
            </w:r>
            <w:r w:rsidRPr="00D85C34">
              <w:rPr>
                <w:color w:val="000000"/>
                <w:sz w:val="20"/>
                <w:szCs w:val="20"/>
              </w:rPr>
              <w:t xml:space="preserve"> Labs at time of insulin transition</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14:paraId="184CC4BB" w14:textId="77777777" w:rsidR="00D85C34" w:rsidRPr="00D85C34" w:rsidRDefault="00D85C34" w:rsidP="00D85C34">
            <w:pPr>
              <w:jc w:val="center"/>
              <w:rPr>
                <w:color w:val="000000"/>
                <w:sz w:val="20"/>
                <w:szCs w:val="20"/>
              </w:rPr>
            </w:pPr>
            <w:r w:rsidRPr="00D85C34">
              <w:rPr>
                <w:b/>
                <w:color w:val="000000"/>
                <w:sz w:val="20"/>
                <w:szCs w:val="20"/>
              </w:rPr>
              <w:t>ICU Day 8:</w:t>
            </w:r>
            <w:r w:rsidRPr="00D85C34">
              <w:rPr>
                <w:color w:val="000000"/>
                <w:sz w:val="20"/>
                <w:szCs w:val="20"/>
              </w:rPr>
              <w:t xml:space="preserve"> Labs 10 hours after transition from IV insulin</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14:paraId="5424072F" w14:textId="77777777" w:rsidR="00D85C34" w:rsidRPr="00D85C34" w:rsidRDefault="00D85C34" w:rsidP="00D85C34">
            <w:pPr>
              <w:jc w:val="center"/>
              <w:rPr>
                <w:color w:val="000000"/>
                <w:sz w:val="20"/>
                <w:szCs w:val="20"/>
              </w:rPr>
            </w:pPr>
            <w:r w:rsidRPr="00D85C34">
              <w:rPr>
                <w:b/>
                <w:color w:val="000000"/>
                <w:sz w:val="20"/>
                <w:szCs w:val="20"/>
              </w:rPr>
              <w:t>ICU Day 15:</w:t>
            </w:r>
            <w:r w:rsidRPr="00D85C34">
              <w:rPr>
                <w:color w:val="000000"/>
                <w:sz w:val="20"/>
                <w:szCs w:val="20"/>
              </w:rPr>
              <w:t xml:space="preserve"> Labs at time of transfer from ICU</w:t>
            </w:r>
          </w:p>
        </w:tc>
      </w:tr>
      <w:tr w:rsidR="00D85C34" w:rsidRPr="00D85C34" w14:paraId="264C55DC" w14:textId="77777777" w:rsidTr="00C718A6">
        <w:trPr>
          <w:trHeight w:val="209"/>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14:paraId="4945C3B4" w14:textId="77777777" w:rsidR="00D85C34" w:rsidRPr="00D85C34" w:rsidRDefault="00D85C34" w:rsidP="00D85C34">
            <w:pPr>
              <w:jc w:val="center"/>
              <w:rPr>
                <w:color w:val="212121"/>
                <w:sz w:val="20"/>
                <w:szCs w:val="20"/>
              </w:rPr>
            </w:pPr>
            <w:r w:rsidRPr="00D85C34">
              <w:rPr>
                <w:b/>
                <w:color w:val="212121"/>
                <w:sz w:val="20"/>
                <w:szCs w:val="20"/>
              </w:rPr>
              <w:lastRenderedPageBreak/>
              <w:t>Sodium</w:t>
            </w:r>
            <w:r w:rsidRPr="00D85C34">
              <w:rPr>
                <w:color w:val="212121"/>
                <w:sz w:val="20"/>
                <w:szCs w:val="20"/>
              </w:rPr>
              <w:t xml:space="preserve"> (mmol/L)</w:t>
            </w:r>
          </w:p>
        </w:tc>
        <w:tc>
          <w:tcPr>
            <w:tcW w:w="1331" w:type="dxa"/>
            <w:tcBorders>
              <w:top w:val="nil"/>
              <w:left w:val="nil"/>
              <w:bottom w:val="single" w:sz="4" w:space="0" w:color="auto"/>
              <w:right w:val="single" w:sz="4" w:space="0" w:color="auto"/>
            </w:tcBorders>
            <w:shd w:val="clear" w:color="auto" w:fill="auto"/>
            <w:noWrap/>
            <w:vAlign w:val="center"/>
            <w:hideMark/>
          </w:tcPr>
          <w:p w14:paraId="1471AC68" w14:textId="77777777" w:rsidR="00D85C34" w:rsidRPr="00D85C34" w:rsidRDefault="00D85C34" w:rsidP="00D85C34">
            <w:pPr>
              <w:jc w:val="center"/>
              <w:rPr>
                <w:color w:val="212121"/>
                <w:sz w:val="20"/>
                <w:szCs w:val="20"/>
              </w:rPr>
            </w:pPr>
            <w:r w:rsidRPr="00D85C34">
              <w:rPr>
                <w:color w:val="212121"/>
                <w:sz w:val="20"/>
                <w:szCs w:val="20"/>
              </w:rPr>
              <w:t>139</w:t>
            </w:r>
          </w:p>
        </w:tc>
        <w:tc>
          <w:tcPr>
            <w:tcW w:w="1383" w:type="dxa"/>
            <w:tcBorders>
              <w:top w:val="nil"/>
              <w:left w:val="nil"/>
              <w:bottom w:val="single" w:sz="4" w:space="0" w:color="auto"/>
              <w:right w:val="single" w:sz="4" w:space="0" w:color="auto"/>
            </w:tcBorders>
            <w:shd w:val="clear" w:color="auto" w:fill="auto"/>
            <w:noWrap/>
            <w:vAlign w:val="center"/>
            <w:hideMark/>
          </w:tcPr>
          <w:p w14:paraId="67EFC75A" w14:textId="77777777" w:rsidR="00D85C34" w:rsidRPr="00D85C34" w:rsidRDefault="00D85C34" w:rsidP="00D85C34">
            <w:pPr>
              <w:jc w:val="center"/>
              <w:rPr>
                <w:color w:val="212121"/>
                <w:sz w:val="20"/>
                <w:szCs w:val="20"/>
              </w:rPr>
            </w:pPr>
            <w:r w:rsidRPr="00D85C34">
              <w:rPr>
                <w:color w:val="212121"/>
                <w:sz w:val="20"/>
                <w:szCs w:val="20"/>
              </w:rPr>
              <w:t>164</w:t>
            </w:r>
          </w:p>
        </w:tc>
        <w:tc>
          <w:tcPr>
            <w:tcW w:w="1400" w:type="dxa"/>
            <w:tcBorders>
              <w:top w:val="nil"/>
              <w:left w:val="nil"/>
              <w:bottom w:val="single" w:sz="4" w:space="0" w:color="auto"/>
              <w:right w:val="single" w:sz="4" w:space="0" w:color="auto"/>
            </w:tcBorders>
            <w:shd w:val="clear" w:color="auto" w:fill="auto"/>
            <w:noWrap/>
            <w:vAlign w:val="center"/>
            <w:hideMark/>
          </w:tcPr>
          <w:p w14:paraId="74BFC306" w14:textId="77777777" w:rsidR="00D85C34" w:rsidRPr="00D85C34" w:rsidRDefault="00D85C34" w:rsidP="00D85C34">
            <w:pPr>
              <w:jc w:val="center"/>
              <w:rPr>
                <w:color w:val="212121"/>
                <w:sz w:val="20"/>
                <w:szCs w:val="20"/>
              </w:rPr>
            </w:pPr>
            <w:r w:rsidRPr="00D85C34">
              <w:rPr>
                <w:color w:val="212121"/>
                <w:sz w:val="20"/>
                <w:szCs w:val="20"/>
              </w:rPr>
              <w:t>151</w:t>
            </w:r>
          </w:p>
        </w:tc>
        <w:tc>
          <w:tcPr>
            <w:tcW w:w="1487" w:type="dxa"/>
            <w:tcBorders>
              <w:top w:val="nil"/>
              <w:left w:val="nil"/>
              <w:bottom w:val="single" w:sz="4" w:space="0" w:color="auto"/>
              <w:right w:val="single" w:sz="4" w:space="0" w:color="auto"/>
            </w:tcBorders>
            <w:shd w:val="clear" w:color="auto" w:fill="auto"/>
            <w:noWrap/>
            <w:vAlign w:val="center"/>
            <w:hideMark/>
          </w:tcPr>
          <w:p w14:paraId="7BA9BCA1" w14:textId="77777777" w:rsidR="00D85C34" w:rsidRPr="00D85C34" w:rsidRDefault="00D85C34" w:rsidP="00D85C34">
            <w:pPr>
              <w:jc w:val="center"/>
              <w:rPr>
                <w:color w:val="212121"/>
                <w:sz w:val="20"/>
                <w:szCs w:val="20"/>
              </w:rPr>
            </w:pPr>
            <w:r w:rsidRPr="00D85C34">
              <w:rPr>
                <w:color w:val="212121"/>
                <w:sz w:val="20"/>
                <w:szCs w:val="20"/>
              </w:rPr>
              <w:t>149</w:t>
            </w:r>
          </w:p>
        </w:tc>
        <w:tc>
          <w:tcPr>
            <w:tcW w:w="1297" w:type="dxa"/>
            <w:tcBorders>
              <w:top w:val="nil"/>
              <w:left w:val="nil"/>
              <w:bottom w:val="single" w:sz="4" w:space="0" w:color="auto"/>
              <w:right w:val="single" w:sz="4" w:space="0" w:color="auto"/>
            </w:tcBorders>
            <w:shd w:val="clear" w:color="auto" w:fill="auto"/>
            <w:noWrap/>
            <w:vAlign w:val="center"/>
            <w:hideMark/>
          </w:tcPr>
          <w:p w14:paraId="39B66BA4" w14:textId="77777777" w:rsidR="00D85C34" w:rsidRPr="00D85C34" w:rsidRDefault="00D85C34" w:rsidP="00D85C34">
            <w:pPr>
              <w:jc w:val="center"/>
              <w:rPr>
                <w:color w:val="212121"/>
                <w:sz w:val="20"/>
                <w:szCs w:val="20"/>
              </w:rPr>
            </w:pPr>
            <w:r w:rsidRPr="00D85C34">
              <w:rPr>
                <w:color w:val="212121"/>
                <w:sz w:val="20"/>
                <w:szCs w:val="20"/>
              </w:rPr>
              <w:t>142</w:t>
            </w:r>
          </w:p>
        </w:tc>
      </w:tr>
      <w:tr w:rsidR="00D85C34" w:rsidRPr="00D85C34" w14:paraId="53FE937E" w14:textId="77777777" w:rsidTr="00C718A6">
        <w:trPr>
          <w:trHeight w:val="209"/>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14:paraId="5986A63F" w14:textId="77777777" w:rsidR="00D85C34" w:rsidRPr="00D85C34" w:rsidRDefault="00D85C34" w:rsidP="00D85C34">
            <w:pPr>
              <w:jc w:val="center"/>
              <w:rPr>
                <w:color w:val="212121"/>
                <w:sz w:val="20"/>
                <w:szCs w:val="20"/>
              </w:rPr>
            </w:pPr>
            <w:r w:rsidRPr="00D85C34">
              <w:rPr>
                <w:b/>
                <w:color w:val="212121"/>
                <w:sz w:val="20"/>
                <w:szCs w:val="20"/>
              </w:rPr>
              <w:t>Corrected Sodium</w:t>
            </w:r>
            <w:r w:rsidRPr="00D85C34">
              <w:rPr>
                <w:color w:val="212121"/>
                <w:sz w:val="20"/>
                <w:szCs w:val="20"/>
              </w:rPr>
              <w:t xml:space="preserve"> (mmol/L)</w:t>
            </w:r>
          </w:p>
        </w:tc>
        <w:tc>
          <w:tcPr>
            <w:tcW w:w="1331" w:type="dxa"/>
            <w:tcBorders>
              <w:top w:val="nil"/>
              <w:left w:val="nil"/>
              <w:bottom w:val="single" w:sz="4" w:space="0" w:color="auto"/>
              <w:right w:val="single" w:sz="4" w:space="0" w:color="auto"/>
            </w:tcBorders>
            <w:shd w:val="clear" w:color="auto" w:fill="auto"/>
            <w:noWrap/>
            <w:vAlign w:val="center"/>
            <w:hideMark/>
          </w:tcPr>
          <w:p w14:paraId="1DA4AA1D" w14:textId="77777777" w:rsidR="00D85C34" w:rsidRPr="00D85C34" w:rsidRDefault="00D85C34" w:rsidP="00D85C34">
            <w:pPr>
              <w:jc w:val="center"/>
              <w:rPr>
                <w:color w:val="212121"/>
                <w:sz w:val="20"/>
                <w:szCs w:val="20"/>
              </w:rPr>
            </w:pPr>
            <w:r w:rsidRPr="00D85C34">
              <w:rPr>
                <w:color w:val="212121"/>
                <w:sz w:val="20"/>
                <w:szCs w:val="20"/>
              </w:rPr>
              <w:t>155</w:t>
            </w:r>
          </w:p>
        </w:tc>
        <w:tc>
          <w:tcPr>
            <w:tcW w:w="1383" w:type="dxa"/>
            <w:tcBorders>
              <w:top w:val="nil"/>
              <w:left w:val="nil"/>
              <w:bottom w:val="single" w:sz="4" w:space="0" w:color="auto"/>
              <w:right w:val="single" w:sz="4" w:space="0" w:color="auto"/>
            </w:tcBorders>
            <w:shd w:val="clear" w:color="auto" w:fill="auto"/>
            <w:noWrap/>
            <w:vAlign w:val="center"/>
            <w:hideMark/>
          </w:tcPr>
          <w:p w14:paraId="511ECB3D" w14:textId="77777777" w:rsidR="00D85C34" w:rsidRPr="00D85C34" w:rsidRDefault="00D85C34" w:rsidP="00D85C34">
            <w:pPr>
              <w:jc w:val="center"/>
              <w:rPr>
                <w:color w:val="212121"/>
                <w:sz w:val="20"/>
                <w:szCs w:val="20"/>
              </w:rPr>
            </w:pPr>
            <w:r w:rsidRPr="00D85C34">
              <w:rPr>
                <w:color w:val="212121"/>
                <w:sz w:val="20"/>
                <w:szCs w:val="20"/>
              </w:rPr>
              <w:t>166</w:t>
            </w:r>
          </w:p>
        </w:tc>
        <w:tc>
          <w:tcPr>
            <w:tcW w:w="1400" w:type="dxa"/>
            <w:tcBorders>
              <w:top w:val="nil"/>
              <w:left w:val="nil"/>
              <w:bottom w:val="single" w:sz="4" w:space="0" w:color="auto"/>
              <w:right w:val="single" w:sz="4" w:space="0" w:color="auto"/>
            </w:tcBorders>
            <w:shd w:val="clear" w:color="auto" w:fill="auto"/>
            <w:noWrap/>
            <w:vAlign w:val="center"/>
            <w:hideMark/>
          </w:tcPr>
          <w:p w14:paraId="2567BF8C" w14:textId="77777777" w:rsidR="00D85C34" w:rsidRPr="00D85C34" w:rsidRDefault="00D85C34" w:rsidP="00D85C34">
            <w:pPr>
              <w:jc w:val="center"/>
              <w:rPr>
                <w:color w:val="212121"/>
                <w:sz w:val="20"/>
                <w:szCs w:val="20"/>
              </w:rPr>
            </w:pPr>
            <w:r w:rsidRPr="00D85C34">
              <w:rPr>
                <w:color w:val="212121"/>
                <w:sz w:val="20"/>
                <w:szCs w:val="20"/>
              </w:rPr>
              <w:t>152</w:t>
            </w:r>
          </w:p>
        </w:tc>
        <w:tc>
          <w:tcPr>
            <w:tcW w:w="1487" w:type="dxa"/>
            <w:tcBorders>
              <w:top w:val="nil"/>
              <w:left w:val="nil"/>
              <w:bottom w:val="single" w:sz="4" w:space="0" w:color="auto"/>
              <w:right w:val="single" w:sz="4" w:space="0" w:color="auto"/>
            </w:tcBorders>
            <w:shd w:val="clear" w:color="auto" w:fill="auto"/>
            <w:noWrap/>
            <w:vAlign w:val="center"/>
            <w:hideMark/>
          </w:tcPr>
          <w:p w14:paraId="182C3647" w14:textId="77777777" w:rsidR="00D85C34" w:rsidRPr="00D85C34" w:rsidRDefault="00D85C34" w:rsidP="00D85C34">
            <w:pPr>
              <w:jc w:val="center"/>
              <w:rPr>
                <w:color w:val="212121"/>
                <w:sz w:val="20"/>
                <w:szCs w:val="20"/>
              </w:rPr>
            </w:pPr>
            <w:r w:rsidRPr="00D85C34">
              <w:rPr>
                <w:color w:val="212121"/>
                <w:sz w:val="20"/>
                <w:szCs w:val="20"/>
              </w:rPr>
              <w:t>151</w:t>
            </w:r>
          </w:p>
        </w:tc>
        <w:tc>
          <w:tcPr>
            <w:tcW w:w="1297" w:type="dxa"/>
            <w:tcBorders>
              <w:top w:val="nil"/>
              <w:left w:val="nil"/>
              <w:bottom w:val="single" w:sz="4" w:space="0" w:color="auto"/>
              <w:right w:val="single" w:sz="4" w:space="0" w:color="auto"/>
            </w:tcBorders>
            <w:shd w:val="clear" w:color="auto" w:fill="auto"/>
            <w:noWrap/>
            <w:vAlign w:val="center"/>
            <w:hideMark/>
          </w:tcPr>
          <w:p w14:paraId="732B0227" w14:textId="77777777" w:rsidR="00D85C34" w:rsidRPr="00D85C34" w:rsidRDefault="00D85C34" w:rsidP="00D85C34">
            <w:pPr>
              <w:jc w:val="center"/>
              <w:rPr>
                <w:color w:val="212121"/>
                <w:sz w:val="20"/>
                <w:szCs w:val="20"/>
              </w:rPr>
            </w:pPr>
            <w:r w:rsidRPr="00D85C34">
              <w:rPr>
                <w:color w:val="212121"/>
                <w:sz w:val="20"/>
                <w:szCs w:val="20"/>
              </w:rPr>
              <w:t> </w:t>
            </w:r>
          </w:p>
        </w:tc>
      </w:tr>
      <w:tr w:rsidR="00D85C34" w:rsidRPr="00D85C34" w14:paraId="13049ABB" w14:textId="77777777" w:rsidTr="00C718A6">
        <w:trPr>
          <w:trHeight w:val="209"/>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14:paraId="686D3664" w14:textId="77777777" w:rsidR="00D85C34" w:rsidRPr="00D85C34" w:rsidRDefault="00D85C34" w:rsidP="00D85C34">
            <w:pPr>
              <w:jc w:val="center"/>
              <w:rPr>
                <w:color w:val="212121"/>
                <w:sz w:val="20"/>
                <w:szCs w:val="20"/>
              </w:rPr>
            </w:pPr>
            <w:r w:rsidRPr="00D85C34">
              <w:rPr>
                <w:b/>
                <w:color w:val="212121"/>
                <w:sz w:val="20"/>
                <w:szCs w:val="20"/>
              </w:rPr>
              <w:t>CO</w:t>
            </w:r>
            <w:r w:rsidRPr="00D85C34">
              <w:rPr>
                <w:b/>
                <w:color w:val="FF0000"/>
                <w:sz w:val="20"/>
                <w:szCs w:val="20"/>
                <w:vertAlign w:val="subscript"/>
              </w:rPr>
              <w:t>2</w:t>
            </w:r>
            <w:r w:rsidRPr="00D85C34">
              <w:rPr>
                <w:color w:val="212121"/>
                <w:sz w:val="20"/>
                <w:szCs w:val="20"/>
              </w:rPr>
              <w:t xml:space="preserve"> (mmol/L)</w:t>
            </w:r>
          </w:p>
        </w:tc>
        <w:tc>
          <w:tcPr>
            <w:tcW w:w="1331" w:type="dxa"/>
            <w:tcBorders>
              <w:top w:val="nil"/>
              <w:left w:val="nil"/>
              <w:bottom w:val="single" w:sz="4" w:space="0" w:color="auto"/>
              <w:right w:val="single" w:sz="4" w:space="0" w:color="auto"/>
            </w:tcBorders>
            <w:shd w:val="clear" w:color="auto" w:fill="auto"/>
            <w:noWrap/>
            <w:vAlign w:val="center"/>
            <w:hideMark/>
          </w:tcPr>
          <w:p w14:paraId="40CC9091" w14:textId="77777777" w:rsidR="00D85C34" w:rsidRPr="00D85C34" w:rsidRDefault="00D85C34" w:rsidP="00D85C34">
            <w:pPr>
              <w:jc w:val="center"/>
              <w:rPr>
                <w:color w:val="212121"/>
                <w:sz w:val="20"/>
                <w:szCs w:val="20"/>
              </w:rPr>
            </w:pPr>
            <w:r w:rsidRPr="00D85C34">
              <w:rPr>
                <w:color w:val="212121"/>
                <w:sz w:val="20"/>
                <w:szCs w:val="20"/>
              </w:rPr>
              <w:t>5</w:t>
            </w:r>
          </w:p>
        </w:tc>
        <w:tc>
          <w:tcPr>
            <w:tcW w:w="1383" w:type="dxa"/>
            <w:tcBorders>
              <w:top w:val="nil"/>
              <w:left w:val="nil"/>
              <w:bottom w:val="single" w:sz="4" w:space="0" w:color="auto"/>
              <w:right w:val="single" w:sz="4" w:space="0" w:color="auto"/>
            </w:tcBorders>
            <w:shd w:val="clear" w:color="auto" w:fill="auto"/>
            <w:noWrap/>
            <w:vAlign w:val="center"/>
            <w:hideMark/>
          </w:tcPr>
          <w:p w14:paraId="02D2D648" w14:textId="77777777" w:rsidR="00D85C34" w:rsidRPr="00D85C34" w:rsidRDefault="00D85C34" w:rsidP="00D85C34">
            <w:pPr>
              <w:jc w:val="center"/>
              <w:rPr>
                <w:color w:val="212121"/>
                <w:sz w:val="20"/>
                <w:szCs w:val="20"/>
              </w:rPr>
            </w:pPr>
            <w:r w:rsidRPr="00D85C34">
              <w:rPr>
                <w:color w:val="212121"/>
                <w:sz w:val="20"/>
                <w:szCs w:val="20"/>
              </w:rPr>
              <w:t>21</w:t>
            </w:r>
          </w:p>
        </w:tc>
        <w:tc>
          <w:tcPr>
            <w:tcW w:w="1400" w:type="dxa"/>
            <w:tcBorders>
              <w:top w:val="nil"/>
              <w:left w:val="nil"/>
              <w:bottom w:val="single" w:sz="4" w:space="0" w:color="auto"/>
              <w:right w:val="single" w:sz="4" w:space="0" w:color="auto"/>
            </w:tcBorders>
            <w:shd w:val="clear" w:color="auto" w:fill="auto"/>
            <w:noWrap/>
            <w:vAlign w:val="center"/>
            <w:hideMark/>
          </w:tcPr>
          <w:p w14:paraId="6D734632" w14:textId="77777777" w:rsidR="00D85C34" w:rsidRPr="00D85C34" w:rsidRDefault="00D85C34" w:rsidP="00D85C34">
            <w:pPr>
              <w:jc w:val="center"/>
              <w:rPr>
                <w:color w:val="212121"/>
                <w:sz w:val="20"/>
                <w:szCs w:val="20"/>
              </w:rPr>
            </w:pPr>
            <w:r w:rsidRPr="00D85C34">
              <w:rPr>
                <w:color w:val="212121"/>
                <w:sz w:val="20"/>
                <w:szCs w:val="20"/>
              </w:rPr>
              <w:t>23</w:t>
            </w:r>
          </w:p>
        </w:tc>
        <w:tc>
          <w:tcPr>
            <w:tcW w:w="1487" w:type="dxa"/>
            <w:tcBorders>
              <w:top w:val="nil"/>
              <w:left w:val="nil"/>
              <w:bottom w:val="single" w:sz="4" w:space="0" w:color="auto"/>
              <w:right w:val="single" w:sz="4" w:space="0" w:color="auto"/>
            </w:tcBorders>
            <w:shd w:val="clear" w:color="auto" w:fill="auto"/>
            <w:noWrap/>
            <w:vAlign w:val="center"/>
            <w:hideMark/>
          </w:tcPr>
          <w:p w14:paraId="7A58D54A" w14:textId="77777777" w:rsidR="00D85C34" w:rsidRPr="00D85C34" w:rsidRDefault="00D85C34" w:rsidP="00D85C34">
            <w:pPr>
              <w:jc w:val="center"/>
              <w:rPr>
                <w:color w:val="212121"/>
                <w:sz w:val="20"/>
                <w:szCs w:val="20"/>
              </w:rPr>
            </w:pPr>
            <w:r w:rsidRPr="00D85C34">
              <w:rPr>
                <w:color w:val="212121"/>
                <w:sz w:val="20"/>
                <w:szCs w:val="20"/>
              </w:rPr>
              <w:t>8</w:t>
            </w:r>
          </w:p>
        </w:tc>
        <w:tc>
          <w:tcPr>
            <w:tcW w:w="1297" w:type="dxa"/>
            <w:tcBorders>
              <w:top w:val="nil"/>
              <w:left w:val="nil"/>
              <w:bottom w:val="single" w:sz="4" w:space="0" w:color="auto"/>
              <w:right w:val="single" w:sz="4" w:space="0" w:color="auto"/>
            </w:tcBorders>
            <w:shd w:val="clear" w:color="auto" w:fill="auto"/>
            <w:noWrap/>
            <w:vAlign w:val="center"/>
            <w:hideMark/>
          </w:tcPr>
          <w:p w14:paraId="3CFB62A8" w14:textId="77777777" w:rsidR="00D85C34" w:rsidRPr="00D85C34" w:rsidRDefault="00D85C34" w:rsidP="00D85C34">
            <w:pPr>
              <w:jc w:val="center"/>
              <w:rPr>
                <w:color w:val="212121"/>
                <w:sz w:val="20"/>
                <w:szCs w:val="20"/>
              </w:rPr>
            </w:pPr>
            <w:r w:rsidRPr="00D85C34">
              <w:rPr>
                <w:color w:val="212121"/>
                <w:sz w:val="20"/>
                <w:szCs w:val="20"/>
              </w:rPr>
              <w:t>26</w:t>
            </w:r>
          </w:p>
        </w:tc>
      </w:tr>
      <w:tr w:rsidR="00D85C34" w:rsidRPr="00D85C34" w14:paraId="7270CD00" w14:textId="77777777" w:rsidTr="00C718A6">
        <w:trPr>
          <w:trHeight w:val="209"/>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14:paraId="32B0A74A" w14:textId="77777777" w:rsidR="00D85C34" w:rsidRPr="00D85C34" w:rsidRDefault="00D85C34" w:rsidP="00D85C34">
            <w:pPr>
              <w:jc w:val="center"/>
              <w:rPr>
                <w:color w:val="212121"/>
                <w:sz w:val="20"/>
                <w:szCs w:val="20"/>
              </w:rPr>
            </w:pPr>
            <w:r w:rsidRPr="00D85C34">
              <w:rPr>
                <w:b/>
                <w:color w:val="212121"/>
                <w:sz w:val="20"/>
                <w:szCs w:val="20"/>
              </w:rPr>
              <w:t>Anion Gap</w:t>
            </w:r>
            <w:r w:rsidRPr="00D85C34">
              <w:rPr>
                <w:color w:val="212121"/>
                <w:sz w:val="20"/>
                <w:szCs w:val="20"/>
              </w:rPr>
              <w:t xml:space="preserve"> (mEq/L)</w:t>
            </w:r>
          </w:p>
        </w:tc>
        <w:tc>
          <w:tcPr>
            <w:tcW w:w="1331" w:type="dxa"/>
            <w:tcBorders>
              <w:top w:val="nil"/>
              <w:left w:val="nil"/>
              <w:bottom w:val="single" w:sz="4" w:space="0" w:color="auto"/>
              <w:right w:val="single" w:sz="4" w:space="0" w:color="auto"/>
            </w:tcBorders>
            <w:shd w:val="clear" w:color="auto" w:fill="auto"/>
            <w:noWrap/>
            <w:vAlign w:val="center"/>
            <w:hideMark/>
          </w:tcPr>
          <w:p w14:paraId="3E0E93EE" w14:textId="77777777" w:rsidR="00D85C34" w:rsidRPr="00D85C34" w:rsidRDefault="00D85C34" w:rsidP="00D85C34">
            <w:pPr>
              <w:jc w:val="center"/>
              <w:rPr>
                <w:color w:val="212121"/>
                <w:sz w:val="20"/>
                <w:szCs w:val="20"/>
              </w:rPr>
            </w:pPr>
            <w:r w:rsidRPr="00D85C34">
              <w:rPr>
                <w:color w:val="212121"/>
                <w:sz w:val="20"/>
                <w:szCs w:val="20"/>
              </w:rPr>
              <w:t>42</w:t>
            </w:r>
          </w:p>
        </w:tc>
        <w:tc>
          <w:tcPr>
            <w:tcW w:w="1383" w:type="dxa"/>
            <w:tcBorders>
              <w:top w:val="nil"/>
              <w:left w:val="nil"/>
              <w:bottom w:val="single" w:sz="4" w:space="0" w:color="auto"/>
              <w:right w:val="single" w:sz="4" w:space="0" w:color="auto"/>
            </w:tcBorders>
            <w:shd w:val="clear" w:color="auto" w:fill="auto"/>
            <w:noWrap/>
            <w:vAlign w:val="center"/>
            <w:hideMark/>
          </w:tcPr>
          <w:p w14:paraId="504DE754" w14:textId="77777777" w:rsidR="00D85C34" w:rsidRPr="00D85C34" w:rsidRDefault="00D85C34" w:rsidP="00D85C34">
            <w:pPr>
              <w:jc w:val="center"/>
              <w:rPr>
                <w:color w:val="212121"/>
                <w:sz w:val="20"/>
                <w:szCs w:val="20"/>
              </w:rPr>
            </w:pPr>
            <w:r w:rsidRPr="00D85C34">
              <w:rPr>
                <w:color w:val="212121"/>
                <w:sz w:val="20"/>
                <w:szCs w:val="20"/>
              </w:rPr>
              <w:t>8</w:t>
            </w:r>
          </w:p>
        </w:tc>
        <w:tc>
          <w:tcPr>
            <w:tcW w:w="1400" w:type="dxa"/>
            <w:tcBorders>
              <w:top w:val="nil"/>
              <w:left w:val="nil"/>
              <w:bottom w:val="single" w:sz="4" w:space="0" w:color="auto"/>
              <w:right w:val="single" w:sz="4" w:space="0" w:color="auto"/>
            </w:tcBorders>
            <w:shd w:val="clear" w:color="auto" w:fill="auto"/>
            <w:noWrap/>
            <w:vAlign w:val="center"/>
            <w:hideMark/>
          </w:tcPr>
          <w:p w14:paraId="57B0617F" w14:textId="77777777" w:rsidR="00D85C34" w:rsidRPr="00D85C34" w:rsidRDefault="00D85C34" w:rsidP="00D85C34">
            <w:pPr>
              <w:jc w:val="center"/>
              <w:rPr>
                <w:color w:val="212121"/>
                <w:sz w:val="20"/>
                <w:szCs w:val="20"/>
              </w:rPr>
            </w:pPr>
            <w:r w:rsidRPr="00D85C34">
              <w:rPr>
                <w:color w:val="212121"/>
                <w:sz w:val="20"/>
                <w:szCs w:val="20"/>
              </w:rPr>
              <w:t>11</w:t>
            </w:r>
          </w:p>
        </w:tc>
        <w:tc>
          <w:tcPr>
            <w:tcW w:w="1487" w:type="dxa"/>
            <w:tcBorders>
              <w:top w:val="nil"/>
              <w:left w:val="nil"/>
              <w:bottom w:val="single" w:sz="4" w:space="0" w:color="auto"/>
              <w:right w:val="single" w:sz="4" w:space="0" w:color="auto"/>
            </w:tcBorders>
            <w:shd w:val="clear" w:color="auto" w:fill="auto"/>
            <w:noWrap/>
            <w:vAlign w:val="center"/>
            <w:hideMark/>
          </w:tcPr>
          <w:p w14:paraId="24993921" w14:textId="77777777" w:rsidR="00D85C34" w:rsidRPr="00D85C34" w:rsidRDefault="00D85C34" w:rsidP="00D85C34">
            <w:pPr>
              <w:jc w:val="center"/>
              <w:rPr>
                <w:color w:val="212121"/>
                <w:sz w:val="20"/>
                <w:szCs w:val="20"/>
              </w:rPr>
            </w:pPr>
            <w:r w:rsidRPr="00D85C34">
              <w:rPr>
                <w:color w:val="212121"/>
                <w:sz w:val="20"/>
                <w:szCs w:val="20"/>
              </w:rPr>
              <w:t>31</w:t>
            </w:r>
          </w:p>
        </w:tc>
        <w:tc>
          <w:tcPr>
            <w:tcW w:w="1297" w:type="dxa"/>
            <w:tcBorders>
              <w:top w:val="nil"/>
              <w:left w:val="nil"/>
              <w:bottom w:val="single" w:sz="4" w:space="0" w:color="auto"/>
              <w:right w:val="single" w:sz="4" w:space="0" w:color="auto"/>
            </w:tcBorders>
            <w:shd w:val="clear" w:color="auto" w:fill="auto"/>
            <w:noWrap/>
            <w:vAlign w:val="center"/>
            <w:hideMark/>
          </w:tcPr>
          <w:p w14:paraId="2531615C" w14:textId="77777777" w:rsidR="00D85C34" w:rsidRPr="00D85C34" w:rsidRDefault="00D85C34" w:rsidP="00D85C34">
            <w:pPr>
              <w:jc w:val="center"/>
              <w:rPr>
                <w:color w:val="212121"/>
                <w:sz w:val="20"/>
                <w:szCs w:val="20"/>
              </w:rPr>
            </w:pPr>
            <w:r w:rsidRPr="00D85C34">
              <w:rPr>
                <w:color w:val="212121"/>
                <w:sz w:val="20"/>
                <w:szCs w:val="20"/>
              </w:rPr>
              <w:t>11</w:t>
            </w:r>
          </w:p>
        </w:tc>
      </w:tr>
      <w:tr w:rsidR="00D85C34" w:rsidRPr="00D85C34" w14:paraId="54C47B08" w14:textId="77777777" w:rsidTr="00C718A6">
        <w:trPr>
          <w:trHeight w:val="209"/>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14:paraId="6C757D3F" w14:textId="77777777" w:rsidR="00D85C34" w:rsidRPr="00D85C34" w:rsidRDefault="00D85C34" w:rsidP="00D85C34">
            <w:pPr>
              <w:jc w:val="center"/>
              <w:rPr>
                <w:color w:val="212121"/>
                <w:sz w:val="20"/>
                <w:szCs w:val="20"/>
              </w:rPr>
            </w:pPr>
            <w:r w:rsidRPr="00D85C34">
              <w:rPr>
                <w:b/>
                <w:color w:val="212121"/>
                <w:sz w:val="20"/>
                <w:szCs w:val="20"/>
              </w:rPr>
              <w:t>Creatinine</w:t>
            </w:r>
            <w:r w:rsidRPr="00D85C34">
              <w:rPr>
                <w:color w:val="212121"/>
                <w:sz w:val="20"/>
                <w:szCs w:val="20"/>
              </w:rPr>
              <w:t xml:space="preserve"> (mg/dL)</w:t>
            </w:r>
          </w:p>
        </w:tc>
        <w:tc>
          <w:tcPr>
            <w:tcW w:w="1331" w:type="dxa"/>
            <w:tcBorders>
              <w:top w:val="nil"/>
              <w:left w:val="nil"/>
              <w:bottom w:val="single" w:sz="4" w:space="0" w:color="auto"/>
              <w:right w:val="single" w:sz="4" w:space="0" w:color="auto"/>
            </w:tcBorders>
            <w:shd w:val="clear" w:color="auto" w:fill="auto"/>
            <w:noWrap/>
            <w:vAlign w:val="center"/>
            <w:hideMark/>
          </w:tcPr>
          <w:p w14:paraId="7252CAA7" w14:textId="77777777" w:rsidR="00D85C34" w:rsidRPr="00D85C34" w:rsidRDefault="00D85C34" w:rsidP="00D85C34">
            <w:pPr>
              <w:jc w:val="center"/>
              <w:rPr>
                <w:color w:val="212121"/>
                <w:sz w:val="20"/>
                <w:szCs w:val="20"/>
              </w:rPr>
            </w:pPr>
            <w:r w:rsidRPr="00D85C34">
              <w:rPr>
                <w:color w:val="212121"/>
                <w:sz w:val="20"/>
                <w:szCs w:val="20"/>
              </w:rPr>
              <w:t>2.9</w:t>
            </w:r>
          </w:p>
        </w:tc>
        <w:tc>
          <w:tcPr>
            <w:tcW w:w="1383" w:type="dxa"/>
            <w:tcBorders>
              <w:top w:val="nil"/>
              <w:left w:val="nil"/>
              <w:bottom w:val="single" w:sz="4" w:space="0" w:color="auto"/>
              <w:right w:val="single" w:sz="4" w:space="0" w:color="auto"/>
            </w:tcBorders>
            <w:shd w:val="clear" w:color="auto" w:fill="auto"/>
            <w:noWrap/>
            <w:vAlign w:val="center"/>
            <w:hideMark/>
          </w:tcPr>
          <w:p w14:paraId="6D3550BE" w14:textId="77777777" w:rsidR="00D85C34" w:rsidRPr="00D85C34" w:rsidRDefault="00D85C34" w:rsidP="00D85C34">
            <w:pPr>
              <w:jc w:val="center"/>
              <w:rPr>
                <w:color w:val="212121"/>
                <w:sz w:val="20"/>
                <w:szCs w:val="20"/>
              </w:rPr>
            </w:pPr>
            <w:r w:rsidRPr="00D85C34">
              <w:rPr>
                <w:color w:val="212121"/>
                <w:sz w:val="20"/>
                <w:szCs w:val="20"/>
              </w:rPr>
              <w:t>1.38</w:t>
            </w:r>
          </w:p>
        </w:tc>
        <w:tc>
          <w:tcPr>
            <w:tcW w:w="1400" w:type="dxa"/>
            <w:tcBorders>
              <w:top w:val="nil"/>
              <w:left w:val="nil"/>
              <w:bottom w:val="single" w:sz="4" w:space="0" w:color="auto"/>
              <w:right w:val="single" w:sz="4" w:space="0" w:color="auto"/>
            </w:tcBorders>
            <w:shd w:val="clear" w:color="auto" w:fill="auto"/>
            <w:noWrap/>
            <w:vAlign w:val="center"/>
            <w:hideMark/>
          </w:tcPr>
          <w:p w14:paraId="31676E67" w14:textId="77777777" w:rsidR="00D85C34" w:rsidRPr="00D85C34" w:rsidRDefault="00D85C34" w:rsidP="00D85C34">
            <w:pPr>
              <w:jc w:val="center"/>
              <w:rPr>
                <w:color w:val="212121"/>
                <w:sz w:val="20"/>
                <w:szCs w:val="20"/>
              </w:rPr>
            </w:pPr>
            <w:r w:rsidRPr="00D85C34">
              <w:rPr>
                <w:color w:val="212121"/>
                <w:sz w:val="20"/>
                <w:szCs w:val="20"/>
              </w:rPr>
              <w:t>1.04</w:t>
            </w:r>
          </w:p>
        </w:tc>
        <w:tc>
          <w:tcPr>
            <w:tcW w:w="1487" w:type="dxa"/>
            <w:tcBorders>
              <w:top w:val="nil"/>
              <w:left w:val="nil"/>
              <w:bottom w:val="single" w:sz="4" w:space="0" w:color="auto"/>
              <w:right w:val="single" w:sz="4" w:space="0" w:color="auto"/>
            </w:tcBorders>
            <w:shd w:val="clear" w:color="auto" w:fill="auto"/>
            <w:noWrap/>
            <w:vAlign w:val="center"/>
            <w:hideMark/>
          </w:tcPr>
          <w:p w14:paraId="6803361D" w14:textId="77777777" w:rsidR="00D85C34" w:rsidRPr="00D85C34" w:rsidRDefault="00D85C34" w:rsidP="00D85C34">
            <w:pPr>
              <w:jc w:val="center"/>
              <w:rPr>
                <w:color w:val="212121"/>
                <w:sz w:val="20"/>
                <w:szCs w:val="20"/>
              </w:rPr>
            </w:pPr>
            <w:r w:rsidRPr="00D85C34">
              <w:rPr>
                <w:color w:val="212121"/>
                <w:sz w:val="20"/>
                <w:szCs w:val="20"/>
              </w:rPr>
              <w:t>1.06</w:t>
            </w:r>
          </w:p>
        </w:tc>
        <w:tc>
          <w:tcPr>
            <w:tcW w:w="1297" w:type="dxa"/>
            <w:tcBorders>
              <w:top w:val="nil"/>
              <w:left w:val="nil"/>
              <w:bottom w:val="single" w:sz="4" w:space="0" w:color="auto"/>
              <w:right w:val="single" w:sz="4" w:space="0" w:color="auto"/>
            </w:tcBorders>
            <w:shd w:val="clear" w:color="auto" w:fill="auto"/>
            <w:noWrap/>
            <w:vAlign w:val="center"/>
            <w:hideMark/>
          </w:tcPr>
          <w:p w14:paraId="5E3FE86D" w14:textId="77777777" w:rsidR="00D85C34" w:rsidRPr="00D85C34" w:rsidRDefault="00D85C34" w:rsidP="00D85C34">
            <w:pPr>
              <w:jc w:val="center"/>
              <w:rPr>
                <w:color w:val="212121"/>
                <w:sz w:val="20"/>
                <w:szCs w:val="20"/>
              </w:rPr>
            </w:pPr>
            <w:r w:rsidRPr="00D85C34">
              <w:rPr>
                <w:color w:val="212121"/>
                <w:sz w:val="20"/>
                <w:szCs w:val="20"/>
              </w:rPr>
              <w:t>0.62</w:t>
            </w:r>
          </w:p>
        </w:tc>
      </w:tr>
      <w:tr w:rsidR="00D85C34" w:rsidRPr="00D85C34" w14:paraId="29D9F5E7" w14:textId="77777777" w:rsidTr="00C718A6">
        <w:trPr>
          <w:trHeight w:val="209"/>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14:paraId="10B0CF28" w14:textId="77777777" w:rsidR="00D85C34" w:rsidRPr="00D85C34" w:rsidRDefault="00D85C34" w:rsidP="00D85C34">
            <w:pPr>
              <w:jc w:val="center"/>
              <w:rPr>
                <w:color w:val="212121"/>
                <w:sz w:val="20"/>
                <w:szCs w:val="20"/>
              </w:rPr>
            </w:pPr>
            <w:r w:rsidRPr="00D85C34">
              <w:rPr>
                <w:b/>
                <w:color w:val="212121"/>
                <w:sz w:val="20"/>
                <w:szCs w:val="20"/>
              </w:rPr>
              <w:t>Glucose</w:t>
            </w:r>
            <w:r w:rsidRPr="00D85C34">
              <w:rPr>
                <w:color w:val="212121"/>
                <w:sz w:val="20"/>
                <w:szCs w:val="20"/>
              </w:rPr>
              <w:t xml:space="preserve"> (mg/dL)</w:t>
            </w:r>
          </w:p>
        </w:tc>
        <w:tc>
          <w:tcPr>
            <w:tcW w:w="1331" w:type="dxa"/>
            <w:tcBorders>
              <w:top w:val="nil"/>
              <w:left w:val="nil"/>
              <w:bottom w:val="single" w:sz="4" w:space="0" w:color="auto"/>
              <w:right w:val="single" w:sz="4" w:space="0" w:color="auto"/>
            </w:tcBorders>
            <w:shd w:val="clear" w:color="auto" w:fill="auto"/>
            <w:noWrap/>
            <w:vAlign w:val="center"/>
            <w:hideMark/>
          </w:tcPr>
          <w:p w14:paraId="6A07DE90" w14:textId="77777777" w:rsidR="00D85C34" w:rsidRPr="00D85C34" w:rsidRDefault="00D85C34" w:rsidP="00D85C34">
            <w:pPr>
              <w:jc w:val="center"/>
              <w:rPr>
                <w:color w:val="212121"/>
                <w:sz w:val="20"/>
                <w:szCs w:val="20"/>
              </w:rPr>
            </w:pPr>
            <w:r w:rsidRPr="00D85C34">
              <w:rPr>
                <w:color w:val="212121"/>
                <w:sz w:val="20"/>
                <w:szCs w:val="20"/>
              </w:rPr>
              <w:t>1100</w:t>
            </w:r>
          </w:p>
        </w:tc>
        <w:tc>
          <w:tcPr>
            <w:tcW w:w="1383" w:type="dxa"/>
            <w:tcBorders>
              <w:top w:val="nil"/>
              <w:left w:val="nil"/>
              <w:bottom w:val="single" w:sz="4" w:space="0" w:color="auto"/>
              <w:right w:val="single" w:sz="4" w:space="0" w:color="auto"/>
            </w:tcBorders>
            <w:shd w:val="clear" w:color="auto" w:fill="auto"/>
            <w:noWrap/>
            <w:vAlign w:val="center"/>
            <w:hideMark/>
          </w:tcPr>
          <w:p w14:paraId="4AF21A85" w14:textId="77777777" w:rsidR="00D85C34" w:rsidRPr="00D85C34" w:rsidRDefault="00D85C34" w:rsidP="00D85C34">
            <w:pPr>
              <w:jc w:val="center"/>
              <w:rPr>
                <w:color w:val="212121"/>
                <w:sz w:val="20"/>
                <w:szCs w:val="20"/>
              </w:rPr>
            </w:pPr>
            <w:r w:rsidRPr="00D85C34">
              <w:rPr>
                <w:color w:val="212121"/>
                <w:sz w:val="20"/>
                <w:szCs w:val="20"/>
              </w:rPr>
              <w:t>255</w:t>
            </w:r>
          </w:p>
        </w:tc>
        <w:tc>
          <w:tcPr>
            <w:tcW w:w="1400" w:type="dxa"/>
            <w:tcBorders>
              <w:top w:val="nil"/>
              <w:left w:val="nil"/>
              <w:bottom w:val="single" w:sz="4" w:space="0" w:color="auto"/>
              <w:right w:val="single" w:sz="4" w:space="0" w:color="auto"/>
            </w:tcBorders>
            <w:shd w:val="clear" w:color="auto" w:fill="auto"/>
            <w:noWrap/>
            <w:vAlign w:val="center"/>
            <w:hideMark/>
          </w:tcPr>
          <w:p w14:paraId="44F042D9" w14:textId="77777777" w:rsidR="00D85C34" w:rsidRPr="00D85C34" w:rsidRDefault="00D85C34" w:rsidP="00D85C34">
            <w:pPr>
              <w:jc w:val="center"/>
              <w:rPr>
                <w:color w:val="212121"/>
                <w:sz w:val="20"/>
                <w:szCs w:val="20"/>
              </w:rPr>
            </w:pPr>
            <w:r w:rsidRPr="00D85C34">
              <w:rPr>
                <w:color w:val="212121"/>
                <w:sz w:val="20"/>
                <w:szCs w:val="20"/>
              </w:rPr>
              <w:t>157</w:t>
            </w:r>
          </w:p>
        </w:tc>
        <w:tc>
          <w:tcPr>
            <w:tcW w:w="1487" w:type="dxa"/>
            <w:tcBorders>
              <w:top w:val="nil"/>
              <w:left w:val="nil"/>
              <w:bottom w:val="single" w:sz="4" w:space="0" w:color="auto"/>
              <w:right w:val="single" w:sz="4" w:space="0" w:color="auto"/>
            </w:tcBorders>
            <w:shd w:val="clear" w:color="auto" w:fill="auto"/>
            <w:noWrap/>
            <w:vAlign w:val="center"/>
            <w:hideMark/>
          </w:tcPr>
          <w:p w14:paraId="50415333" w14:textId="77777777" w:rsidR="00D85C34" w:rsidRPr="00D85C34" w:rsidRDefault="00D85C34" w:rsidP="00D85C34">
            <w:pPr>
              <w:jc w:val="center"/>
              <w:rPr>
                <w:color w:val="212121"/>
                <w:sz w:val="20"/>
                <w:szCs w:val="20"/>
              </w:rPr>
            </w:pPr>
            <w:r w:rsidRPr="00D85C34">
              <w:rPr>
                <w:color w:val="212121"/>
                <w:sz w:val="20"/>
                <w:szCs w:val="20"/>
              </w:rPr>
              <w:t>236</w:t>
            </w:r>
          </w:p>
        </w:tc>
        <w:tc>
          <w:tcPr>
            <w:tcW w:w="1297" w:type="dxa"/>
            <w:tcBorders>
              <w:top w:val="nil"/>
              <w:left w:val="nil"/>
              <w:bottom w:val="single" w:sz="4" w:space="0" w:color="auto"/>
              <w:right w:val="single" w:sz="4" w:space="0" w:color="auto"/>
            </w:tcBorders>
            <w:shd w:val="clear" w:color="auto" w:fill="auto"/>
            <w:noWrap/>
            <w:vAlign w:val="center"/>
            <w:hideMark/>
          </w:tcPr>
          <w:p w14:paraId="7521B998" w14:textId="77777777" w:rsidR="00D85C34" w:rsidRPr="00D85C34" w:rsidRDefault="00D85C34" w:rsidP="00D85C34">
            <w:pPr>
              <w:jc w:val="center"/>
              <w:rPr>
                <w:color w:val="212121"/>
                <w:sz w:val="20"/>
                <w:szCs w:val="20"/>
              </w:rPr>
            </w:pPr>
            <w:r w:rsidRPr="00D85C34">
              <w:rPr>
                <w:color w:val="212121"/>
                <w:sz w:val="20"/>
                <w:szCs w:val="20"/>
              </w:rPr>
              <w:t>115</w:t>
            </w:r>
          </w:p>
        </w:tc>
      </w:tr>
      <w:tr w:rsidR="00D85C34" w:rsidRPr="00D85C34" w14:paraId="0D6371F5" w14:textId="77777777" w:rsidTr="00C718A6">
        <w:trPr>
          <w:trHeight w:val="209"/>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14:paraId="29BB7829" w14:textId="77777777" w:rsidR="00D85C34" w:rsidRPr="00D85C34" w:rsidRDefault="00D85C34" w:rsidP="00D85C34">
            <w:pPr>
              <w:jc w:val="center"/>
              <w:rPr>
                <w:b/>
                <w:color w:val="212121"/>
                <w:sz w:val="20"/>
                <w:szCs w:val="20"/>
              </w:rPr>
            </w:pPr>
            <w:r w:rsidRPr="00D85C34">
              <w:rPr>
                <w:b/>
                <w:color w:val="212121"/>
                <w:sz w:val="20"/>
                <w:szCs w:val="20"/>
              </w:rPr>
              <w:t>Acetones</w:t>
            </w:r>
          </w:p>
        </w:tc>
        <w:tc>
          <w:tcPr>
            <w:tcW w:w="1331" w:type="dxa"/>
            <w:tcBorders>
              <w:top w:val="nil"/>
              <w:left w:val="nil"/>
              <w:bottom w:val="single" w:sz="4" w:space="0" w:color="auto"/>
              <w:right w:val="single" w:sz="4" w:space="0" w:color="auto"/>
            </w:tcBorders>
            <w:shd w:val="clear" w:color="auto" w:fill="auto"/>
            <w:noWrap/>
            <w:vAlign w:val="center"/>
            <w:hideMark/>
          </w:tcPr>
          <w:p w14:paraId="17FD7D30" w14:textId="77777777" w:rsidR="00D85C34" w:rsidRPr="00D85C34" w:rsidRDefault="00D85C34" w:rsidP="00D85C34">
            <w:pPr>
              <w:jc w:val="center"/>
              <w:rPr>
                <w:color w:val="212121"/>
                <w:sz w:val="20"/>
                <w:szCs w:val="20"/>
              </w:rPr>
            </w:pPr>
            <w:r w:rsidRPr="00D85C34">
              <w:rPr>
                <w:color w:val="212121"/>
                <w:sz w:val="20"/>
                <w:szCs w:val="20"/>
              </w:rPr>
              <w:t>Moderate</w:t>
            </w:r>
          </w:p>
        </w:tc>
        <w:tc>
          <w:tcPr>
            <w:tcW w:w="1383" w:type="dxa"/>
            <w:tcBorders>
              <w:top w:val="nil"/>
              <w:left w:val="nil"/>
              <w:bottom w:val="single" w:sz="4" w:space="0" w:color="auto"/>
              <w:right w:val="single" w:sz="4" w:space="0" w:color="auto"/>
            </w:tcBorders>
            <w:shd w:val="clear" w:color="auto" w:fill="auto"/>
            <w:noWrap/>
            <w:vAlign w:val="center"/>
            <w:hideMark/>
          </w:tcPr>
          <w:p w14:paraId="72B84811" w14:textId="77777777" w:rsidR="00D85C34" w:rsidRPr="00D85C34" w:rsidRDefault="00D85C34" w:rsidP="00D85C34">
            <w:pPr>
              <w:jc w:val="center"/>
              <w:rPr>
                <w:color w:val="212121"/>
                <w:sz w:val="20"/>
                <w:szCs w:val="20"/>
              </w:rPr>
            </w:pPr>
            <w:r w:rsidRPr="00D85C34">
              <w:rPr>
                <w:color w:val="212121"/>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14:paraId="22B1A5C5" w14:textId="77777777" w:rsidR="00D85C34" w:rsidRPr="00D85C34" w:rsidRDefault="00D85C34" w:rsidP="00D85C34">
            <w:pPr>
              <w:jc w:val="center"/>
              <w:rPr>
                <w:color w:val="212121"/>
                <w:sz w:val="20"/>
                <w:szCs w:val="20"/>
              </w:rPr>
            </w:pPr>
            <w:r w:rsidRPr="00D85C34">
              <w:rPr>
                <w:color w:val="212121"/>
                <w:sz w:val="20"/>
                <w:szCs w:val="20"/>
              </w:rPr>
              <w:t>Negative</w:t>
            </w:r>
          </w:p>
        </w:tc>
        <w:tc>
          <w:tcPr>
            <w:tcW w:w="1487" w:type="dxa"/>
            <w:tcBorders>
              <w:top w:val="nil"/>
              <w:left w:val="nil"/>
              <w:bottom w:val="single" w:sz="4" w:space="0" w:color="auto"/>
              <w:right w:val="single" w:sz="4" w:space="0" w:color="auto"/>
            </w:tcBorders>
            <w:shd w:val="clear" w:color="auto" w:fill="auto"/>
            <w:noWrap/>
            <w:vAlign w:val="center"/>
            <w:hideMark/>
          </w:tcPr>
          <w:p w14:paraId="14313822" w14:textId="77777777" w:rsidR="00D85C34" w:rsidRPr="00D85C34" w:rsidRDefault="00D85C34" w:rsidP="00D85C34">
            <w:pPr>
              <w:jc w:val="center"/>
              <w:rPr>
                <w:color w:val="212121"/>
                <w:sz w:val="20"/>
                <w:szCs w:val="20"/>
              </w:rPr>
            </w:pPr>
            <w:r w:rsidRPr="00D85C34">
              <w:rPr>
                <w:color w:val="212121"/>
                <w:sz w:val="20"/>
                <w:szCs w:val="20"/>
              </w:rPr>
              <w:t>Large</w:t>
            </w:r>
          </w:p>
        </w:tc>
        <w:tc>
          <w:tcPr>
            <w:tcW w:w="1297" w:type="dxa"/>
            <w:tcBorders>
              <w:top w:val="nil"/>
              <w:left w:val="nil"/>
              <w:bottom w:val="single" w:sz="4" w:space="0" w:color="auto"/>
              <w:right w:val="single" w:sz="4" w:space="0" w:color="auto"/>
            </w:tcBorders>
            <w:shd w:val="clear" w:color="auto" w:fill="auto"/>
            <w:noWrap/>
            <w:vAlign w:val="center"/>
            <w:hideMark/>
          </w:tcPr>
          <w:p w14:paraId="3F43215B" w14:textId="77777777" w:rsidR="00D85C34" w:rsidRPr="00D85C34" w:rsidRDefault="00D85C34" w:rsidP="00D85C34">
            <w:pPr>
              <w:jc w:val="center"/>
              <w:rPr>
                <w:color w:val="212121"/>
                <w:sz w:val="20"/>
                <w:szCs w:val="20"/>
              </w:rPr>
            </w:pPr>
            <w:r w:rsidRPr="00D85C34">
              <w:rPr>
                <w:color w:val="212121"/>
                <w:sz w:val="20"/>
                <w:szCs w:val="20"/>
              </w:rPr>
              <w:t>Negative</w:t>
            </w:r>
          </w:p>
        </w:tc>
      </w:tr>
      <w:tr w:rsidR="00D85C34" w:rsidRPr="00D85C34" w14:paraId="5A398D6C" w14:textId="77777777" w:rsidTr="00C718A6">
        <w:trPr>
          <w:trHeight w:val="209"/>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14:paraId="3B178BF0" w14:textId="77777777" w:rsidR="00D85C34" w:rsidRPr="00D85C34" w:rsidRDefault="00D85C34" w:rsidP="00D85C34">
            <w:pPr>
              <w:jc w:val="center"/>
              <w:rPr>
                <w:color w:val="212121"/>
                <w:sz w:val="20"/>
                <w:szCs w:val="20"/>
              </w:rPr>
            </w:pPr>
            <w:r w:rsidRPr="00D85C34">
              <w:rPr>
                <w:b/>
                <w:color w:val="212121"/>
                <w:sz w:val="20"/>
                <w:szCs w:val="20"/>
              </w:rPr>
              <w:t>Triglycerides</w:t>
            </w:r>
            <w:r w:rsidRPr="00D85C34">
              <w:rPr>
                <w:color w:val="212121"/>
                <w:sz w:val="20"/>
                <w:szCs w:val="20"/>
              </w:rPr>
              <w:t xml:space="preserve"> (mg/dL)</w:t>
            </w:r>
          </w:p>
        </w:tc>
        <w:tc>
          <w:tcPr>
            <w:tcW w:w="1331" w:type="dxa"/>
            <w:tcBorders>
              <w:top w:val="nil"/>
              <w:left w:val="nil"/>
              <w:bottom w:val="single" w:sz="4" w:space="0" w:color="auto"/>
              <w:right w:val="single" w:sz="4" w:space="0" w:color="auto"/>
            </w:tcBorders>
            <w:shd w:val="clear" w:color="auto" w:fill="auto"/>
            <w:noWrap/>
            <w:vAlign w:val="center"/>
            <w:hideMark/>
          </w:tcPr>
          <w:p w14:paraId="1160380D" w14:textId="77777777" w:rsidR="00D85C34" w:rsidRPr="00D85C34" w:rsidRDefault="00D85C34" w:rsidP="00D85C34">
            <w:pPr>
              <w:jc w:val="center"/>
              <w:rPr>
                <w:color w:val="212121"/>
                <w:sz w:val="20"/>
                <w:szCs w:val="20"/>
              </w:rPr>
            </w:pPr>
            <w:r w:rsidRPr="00D85C34">
              <w:rPr>
                <w:color w:val="212121"/>
                <w:sz w:val="20"/>
                <w:szCs w:val="20"/>
              </w:rPr>
              <w:t>1890</w:t>
            </w:r>
          </w:p>
        </w:tc>
        <w:tc>
          <w:tcPr>
            <w:tcW w:w="1383" w:type="dxa"/>
            <w:tcBorders>
              <w:top w:val="nil"/>
              <w:left w:val="nil"/>
              <w:bottom w:val="single" w:sz="4" w:space="0" w:color="auto"/>
              <w:right w:val="single" w:sz="4" w:space="0" w:color="auto"/>
            </w:tcBorders>
            <w:shd w:val="clear" w:color="auto" w:fill="auto"/>
            <w:noWrap/>
            <w:vAlign w:val="center"/>
            <w:hideMark/>
          </w:tcPr>
          <w:p w14:paraId="3353179A" w14:textId="77777777" w:rsidR="00D85C34" w:rsidRPr="00D85C34" w:rsidRDefault="00D85C34" w:rsidP="00D85C34">
            <w:pPr>
              <w:jc w:val="center"/>
              <w:rPr>
                <w:color w:val="212121"/>
                <w:sz w:val="20"/>
                <w:szCs w:val="20"/>
              </w:rPr>
            </w:pPr>
            <w:r w:rsidRPr="00D85C34">
              <w:rPr>
                <w:color w:val="212121"/>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14:paraId="15BD305C" w14:textId="77777777" w:rsidR="00D85C34" w:rsidRPr="00D85C34" w:rsidRDefault="00D85C34" w:rsidP="00D85C34">
            <w:pPr>
              <w:jc w:val="center"/>
              <w:rPr>
                <w:color w:val="212121"/>
                <w:sz w:val="20"/>
                <w:szCs w:val="20"/>
              </w:rPr>
            </w:pPr>
            <w:r w:rsidRPr="00D85C34">
              <w:rPr>
                <w:color w:val="212121"/>
                <w:sz w:val="20"/>
                <w:szCs w:val="20"/>
              </w:rPr>
              <w:t>299</w:t>
            </w:r>
          </w:p>
        </w:tc>
        <w:tc>
          <w:tcPr>
            <w:tcW w:w="1487" w:type="dxa"/>
            <w:tcBorders>
              <w:top w:val="nil"/>
              <w:left w:val="nil"/>
              <w:bottom w:val="single" w:sz="4" w:space="0" w:color="auto"/>
              <w:right w:val="single" w:sz="4" w:space="0" w:color="auto"/>
            </w:tcBorders>
            <w:shd w:val="clear" w:color="auto" w:fill="auto"/>
            <w:noWrap/>
            <w:vAlign w:val="center"/>
            <w:hideMark/>
          </w:tcPr>
          <w:p w14:paraId="15F502DB" w14:textId="77777777" w:rsidR="00D85C34" w:rsidRPr="00D85C34" w:rsidRDefault="00D85C34" w:rsidP="00D85C34">
            <w:pPr>
              <w:jc w:val="center"/>
              <w:rPr>
                <w:color w:val="000000"/>
                <w:sz w:val="20"/>
                <w:szCs w:val="20"/>
              </w:rPr>
            </w:pPr>
            <w:r w:rsidRPr="00D85C34">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14:paraId="737B3F55" w14:textId="77777777" w:rsidR="00D85C34" w:rsidRPr="00D85C34" w:rsidRDefault="00D85C34" w:rsidP="00D85C34">
            <w:pPr>
              <w:jc w:val="center"/>
              <w:rPr>
                <w:color w:val="000000"/>
                <w:sz w:val="20"/>
                <w:szCs w:val="20"/>
              </w:rPr>
            </w:pPr>
            <w:r w:rsidRPr="00D85C34">
              <w:rPr>
                <w:color w:val="000000"/>
                <w:sz w:val="20"/>
                <w:szCs w:val="20"/>
              </w:rPr>
              <w:t> </w:t>
            </w:r>
          </w:p>
        </w:tc>
      </w:tr>
      <w:tr w:rsidR="00D85C34" w:rsidRPr="00D85C34" w14:paraId="71BCC752" w14:textId="77777777" w:rsidTr="00C718A6">
        <w:trPr>
          <w:trHeight w:val="209"/>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14:paraId="6CF357A6" w14:textId="77777777" w:rsidR="00D85C34" w:rsidRPr="00D85C34" w:rsidRDefault="00D85C34" w:rsidP="00D85C34">
            <w:pPr>
              <w:jc w:val="center"/>
              <w:rPr>
                <w:color w:val="212121"/>
                <w:sz w:val="20"/>
                <w:szCs w:val="20"/>
              </w:rPr>
            </w:pPr>
            <w:r w:rsidRPr="00D85C34">
              <w:rPr>
                <w:b/>
                <w:color w:val="212121"/>
                <w:sz w:val="20"/>
                <w:szCs w:val="20"/>
              </w:rPr>
              <w:t>Lipase</w:t>
            </w:r>
            <w:r w:rsidRPr="00D85C34">
              <w:rPr>
                <w:color w:val="212121"/>
                <w:sz w:val="20"/>
                <w:szCs w:val="20"/>
              </w:rPr>
              <w:t xml:space="preserve"> (U/L)</w:t>
            </w:r>
          </w:p>
        </w:tc>
        <w:tc>
          <w:tcPr>
            <w:tcW w:w="1331" w:type="dxa"/>
            <w:tcBorders>
              <w:top w:val="nil"/>
              <w:left w:val="nil"/>
              <w:bottom w:val="single" w:sz="4" w:space="0" w:color="auto"/>
              <w:right w:val="single" w:sz="4" w:space="0" w:color="auto"/>
            </w:tcBorders>
            <w:shd w:val="clear" w:color="auto" w:fill="auto"/>
            <w:noWrap/>
            <w:vAlign w:val="center"/>
            <w:hideMark/>
          </w:tcPr>
          <w:p w14:paraId="4E767F54" w14:textId="77777777" w:rsidR="00D85C34" w:rsidRPr="00D85C34" w:rsidRDefault="00D85C34" w:rsidP="00D85C34">
            <w:pPr>
              <w:jc w:val="center"/>
              <w:rPr>
                <w:color w:val="212121"/>
                <w:sz w:val="20"/>
                <w:szCs w:val="20"/>
              </w:rPr>
            </w:pPr>
            <w:r w:rsidRPr="00D85C34">
              <w:rPr>
                <w:color w:val="212121"/>
                <w:sz w:val="20"/>
                <w:szCs w:val="20"/>
              </w:rPr>
              <w:t>408</w:t>
            </w:r>
          </w:p>
        </w:tc>
        <w:tc>
          <w:tcPr>
            <w:tcW w:w="1383" w:type="dxa"/>
            <w:tcBorders>
              <w:top w:val="nil"/>
              <w:left w:val="nil"/>
              <w:bottom w:val="single" w:sz="4" w:space="0" w:color="auto"/>
              <w:right w:val="single" w:sz="4" w:space="0" w:color="auto"/>
            </w:tcBorders>
            <w:shd w:val="clear" w:color="auto" w:fill="auto"/>
            <w:noWrap/>
            <w:vAlign w:val="center"/>
            <w:hideMark/>
          </w:tcPr>
          <w:p w14:paraId="32FF9574" w14:textId="77777777" w:rsidR="00D85C34" w:rsidRPr="00D85C34" w:rsidRDefault="00D85C34" w:rsidP="00D85C34">
            <w:pPr>
              <w:jc w:val="center"/>
              <w:rPr>
                <w:color w:val="212121"/>
                <w:sz w:val="20"/>
                <w:szCs w:val="20"/>
              </w:rPr>
            </w:pPr>
            <w:r w:rsidRPr="00D85C34">
              <w:rPr>
                <w:color w:val="212121"/>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14:paraId="1215581D" w14:textId="77777777" w:rsidR="00D85C34" w:rsidRPr="00D85C34" w:rsidRDefault="00D85C34" w:rsidP="00D85C34">
            <w:pPr>
              <w:jc w:val="center"/>
              <w:rPr>
                <w:color w:val="212121"/>
                <w:sz w:val="20"/>
                <w:szCs w:val="20"/>
              </w:rPr>
            </w:pPr>
            <w:r w:rsidRPr="00D85C34">
              <w:rPr>
                <w:color w:val="212121"/>
                <w:sz w:val="20"/>
                <w:szCs w:val="20"/>
              </w:rPr>
              <w:t>33</w:t>
            </w:r>
          </w:p>
        </w:tc>
        <w:tc>
          <w:tcPr>
            <w:tcW w:w="1487" w:type="dxa"/>
            <w:tcBorders>
              <w:top w:val="nil"/>
              <w:left w:val="nil"/>
              <w:bottom w:val="single" w:sz="4" w:space="0" w:color="auto"/>
              <w:right w:val="single" w:sz="4" w:space="0" w:color="auto"/>
            </w:tcBorders>
            <w:shd w:val="clear" w:color="auto" w:fill="auto"/>
            <w:noWrap/>
            <w:vAlign w:val="center"/>
            <w:hideMark/>
          </w:tcPr>
          <w:p w14:paraId="57E20343" w14:textId="77777777" w:rsidR="00D85C34" w:rsidRPr="00D85C34" w:rsidRDefault="00D85C34" w:rsidP="00D85C34">
            <w:pPr>
              <w:jc w:val="center"/>
              <w:rPr>
                <w:color w:val="000000"/>
                <w:sz w:val="20"/>
                <w:szCs w:val="20"/>
              </w:rPr>
            </w:pPr>
            <w:r w:rsidRPr="00D85C34">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14:paraId="14A3FA0F" w14:textId="77777777" w:rsidR="00D85C34" w:rsidRPr="00D85C34" w:rsidRDefault="00D85C34" w:rsidP="00D85C34">
            <w:pPr>
              <w:jc w:val="center"/>
              <w:rPr>
                <w:color w:val="000000"/>
                <w:sz w:val="20"/>
                <w:szCs w:val="20"/>
              </w:rPr>
            </w:pPr>
            <w:r w:rsidRPr="00D85C34">
              <w:rPr>
                <w:color w:val="000000"/>
                <w:sz w:val="20"/>
                <w:szCs w:val="20"/>
              </w:rPr>
              <w:t> </w:t>
            </w:r>
          </w:p>
        </w:tc>
      </w:tr>
      <w:tr w:rsidR="00D85C34" w:rsidRPr="00D85C34" w14:paraId="54175270" w14:textId="77777777" w:rsidTr="00C718A6">
        <w:trPr>
          <w:trHeight w:val="209"/>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14:paraId="723785A1" w14:textId="77777777" w:rsidR="00D85C34" w:rsidRPr="00D85C34" w:rsidRDefault="00D85C34" w:rsidP="00D85C34">
            <w:pPr>
              <w:jc w:val="center"/>
              <w:rPr>
                <w:b/>
                <w:color w:val="212121"/>
                <w:sz w:val="20"/>
                <w:szCs w:val="20"/>
              </w:rPr>
            </w:pPr>
            <w:r w:rsidRPr="00D85C34">
              <w:rPr>
                <w:b/>
                <w:color w:val="212121"/>
                <w:sz w:val="20"/>
                <w:szCs w:val="20"/>
              </w:rPr>
              <w:t>Amylase</w:t>
            </w:r>
          </w:p>
        </w:tc>
        <w:tc>
          <w:tcPr>
            <w:tcW w:w="1331" w:type="dxa"/>
            <w:tcBorders>
              <w:top w:val="nil"/>
              <w:left w:val="nil"/>
              <w:bottom w:val="single" w:sz="4" w:space="0" w:color="auto"/>
              <w:right w:val="single" w:sz="4" w:space="0" w:color="auto"/>
            </w:tcBorders>
            <w:shd w:val="clear" w:color="auto" w:fill="auto"/>
            <w:noWrap/>
            <w:vAlign w:val="center"/>
            <w:hideMark/>
          </w:tcPr>
          <w:p w14:paraId="570E609B" w14:textId="77777777" w:rsidR="00D85C34" w:rsidRPr="00D85C34" w:rsidRDefault="00D85C34" w:rsidP="00D85C34">
            <w:pPr>
              <w:jc w:val="center"/>
              <w:rPr>
                <w:color w:val="212121"/>
                <w:sz w:val="20"/>
                <w:szCs w:val="20"/>
              </w:rPr>
            </w:pPr>
            <w:r w:rsidRPr="00D85C34">
              <w:rPr>
                <w:color w:val="212121"/>
                <w:sz w:val="20"/>
                <w:szCs w:val="20"/>
              </w:rPr>
              <w:t>516</w:t>
            </w:r>
          </w:p>
        </w:tc>
        <w:tc>
          <w:tcPr>
            <w:tcW w:w="1383" w:type="dxa"/>
            <w:tcBorders>
              <w:top w:val="nil"/>
              <w:left w:val="nil"/>
              <w:bottom w:val="single" w:sz="4" w:space="0" w:color="auto"/>
              <w:right w:val="single" w:sz="4" w:space="0" w:color="auto"/>
            </w:tcBorders>
            <w:shd w:val="clear" w:color="auto" w:fill="auto"/>
            <w:noWrap/>
            <w:vAlign w:val="center"/>
            <w:hideMark/>
          </w:tcPr>
          <w:p w14:paraId="5D9D0288" w14:textId="77777777" w:rsidR="00D85C34" w:rsidRPr="00D85C34" w:rsidRDefault="00D85C34" w:rsidP="00D85C34">
            <w:pPr>
              <w:jc w:val="center"/>
              <w:rPr>
                <w:color w:val="212121"/>
                <w:sz w:val="20"/>
                <w:szCs w:val="20"/>
              </w:rPr>
            </w:pPr>
            <w:r w:rsidRPr="00D85C34">
              <w:rPr>
                <w:color w:val="212121"/>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14:paraId="6B770EA5" w14:textId="77777777" w:rsidR="00D85C34" w:rsidRPr="00D85C34" w:rsidRDefault="00D85C34" w:rsidP="00D85C34">
            <w:pPr>
              <w:jc w:val="center"/>
              <w:rPr>
                <w:color w:val="212121"/>
                <w:sz w:val="20"/>
                <w:szCs w:val="20"/>
              </w:rPr>
            </w:pPr>
            <w:r w:rsidRPr="00D85C34">
              <w:rPr>
                <w:color w:val="212121"/>
                <w:sz w:val="20"/>
                <w:szCs w:val="20"/>
              </w:rPr>
              <w:t>77</w:t>
            </w:r>
          </w:p>
        </w:tc>
        <w:tc>
          <w:tcPr>
            <w:tcW w:w="1487" w:type="dxa"/>
            <w:tcBorders>
              <w:top w:val="nil"/>
              <w:left w:val="nil"/>
              <w:bottom w:val="single" w:sz="4" w:space="0" w:color="auto"/>
              <w:right w:val="single" w:sz="4" w:space="0" w:color="auto"/>
            </w:tcBorders>
            <w:shd w:val="clear" w:color="auto" w:fill="auto"/>
            <w:noWrap/>
            <w:vAlign w:val="center"/>
            <w:hideMark/>
          </w:tcPr>
          <w:p w14:paraId="5179B7B7" w14:textId="77777777" w:rsidR="00D85C34" w:rsidRPr="00D85C34" w:rsidRDefault="00D85C34" w:rsidP="00D85C34">
            <w:pPr>
              <w:jc w:val="center"/>
              <w:rPr>
                <w:color w:val="000000"/>
                <w:sz w:val="20"/>
                <w:szCs w:val="20"/>
              </w:rPr>
            </w:pPr>
            <w:r w:rsidRPr="00D85C34">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14:paraId="4589D759" w14:textId="77777777" w:rsidR="00D85C34" w:rsidRPr="00D85C34" w:rsidRDefault="00D85C34" w:rsidP="00D85C34">
            <w:pPr>
              <w:jc w:val="center"/>
              <w:rPr>
                <w:color w:val="000000"/>
                <w:sz w:val="20"/>
                <w:szCs w:val="20"/>
              </w:rPr>
            </w:pPr>
            <w:r w:rsidRPr="00D85C34">
              <w:rPr>
                <w:color w:val="000000"/>
                <w:sz w:val="20"/>
                <w:szCs w:val="20"/>
              </w:rPr>
              <w:t> </w:t>
            </w:r>
          </w:p>
        </w:tc>
      </w:tr>
    </w:tbl>
    <w:p w14:paraId="0BB72C68" w14:textId="77777777" w:rsidR="00F05DBC" w:rsidRPr="00403D9E" w:rsidRDefault="00F05DBC" w:rsidP="00403D9E">
      <w:pPr>
        <w:contextualSpacing/>
        <w:mirrorIndents/>
        <w:jc w:val="both"/>
        <w:rPr>
          <w:b/>
          <w:color w:val="212121"/>
          <w:sz w:val="20"/>
          <w:szCs w:val="20"/>
        </w:rPr>
      </w:pPr>
    </w:p>
    <w:p w14:paraId="0D2F35D3" w14:textId="77777777" w:rsidR="00F05DBC" w:rsidRPr="00403D9E" w:rsidRDefault="00F05DBC" w:rsidP="003D7D9B">
      <w:pPr>
        <w:contextualSpacing/>
        <w:mirrorIndents/>
        <w:jc w:val="center"/>
        <w:rPr>
          <w:color w:val="212121"/>
          <w:sz w:val="20"/>
          <w:szCs w:val="20"/>
        </w:rPr>
      </w:pPr>
      <w:r w:rsidRPr="00403D9E">
        <w:rPr>
          <w:b/>
          <w:color w:val="212121"/>
          <w:sz w:val="20"/>
          <w:szCs w:val="20"/>
        </w:rPr>
        <w:t>Table 2:</w:t>
      </w:r>
      <w:r w:rsidRPr="00403D9E">
        <w:rPr>
          <w:color w:val="212121"/>
          <w:sz w:val="20"/>
          <w:szCs w:val="20"/>
        </w:rPr>
        <w:t xml:space="preserve"> Pertinent lab values for case 2. The corrected sodium values accounts for serum glucose levels.</w:t>
      </w:r>
    </w:p>
    <w:p w14:paraId="1D0A4219" w14:textId="77777777" w:rsidR="00F05DBC" w:rsidRPr="00403D9E" w:rsidRDefault="00F05DBC" w:rsidP="00403D9E">
      <w:pPr>
        <w:contextualSpacing/>
        <w:mirrorIndents/>
        <w:jc w:val="both"/>
        <w:rPr>
          <w:sz w:val="20"/>
          <w:szCs w:val="20"/>
        </w:rPr>
      </w:pPr>
    </w:p>
    <w:p w14:paraId="6D770510" w14:textId="50F936A8" w:rsidR="00211916" w:rsidRPr="007831B7" w:rsidRDefault="00F05DBC" w:rsidP="00403D9E">
      <w:pPr>
        <w:contextualSpacing/>
        <w:mirrorIndents/>
        <w:jc w:val="both"/>
        <w:rPr>
          <w:b/>
          <w:sz w:val="22"/>
          <w:szCs w:val="22"/>
        </w:rPr>
      </w:pPr>
      <w:r w:rsidRPr="007831B7">
        <w:rPr>
          <w:b/>
          <w:sz w:val="22"/>
          <w:szCs w:val="22"/>
        </w:rPr>
        <w:t>Case 2</w:t>
      </w:r>
    </w:p>
    <w:p w14:paraId="249E2295" w14:textId="77777777" w:rsidR="005601EA" w:rsidRPr="00403D9E" w:rsidRDefault="005601EA" w:rsidP="00403D9E">
      <w:pPr>
        <w:contextualSpacing/>
        <w:mirrorIndents/>
        <w:jc w:val="both"/>
        <w:rPr>
          <w:sz w:val="20"/>
          <w:szCs w:val="20"/>
        </w:rPr>
      </w:pPr>
    </w:p>
    <w:p w14:paraId="0A0A275C" w14:textId="61A16799" w:rsidR="00211916" w:rsidRPr="00403D9E" w:rsidRDefault="00211916" w:rsidP="00403D9E">
      <w:pPr>
        <w:contextualSpacing/>
        <w:mirrorIndents/>
        <w:jc w:val="both"/>
        <w:rPr>
          <w:b/>
          <w:sz w:val="20"/>
          <w:szCs w:val="20"/>
        </w:rPr>
      </w:pPr>
      <w:r w:rsidRPr="00403D9E">
        <w:rPr>
          <w:b/>
          <w:sz w:val="20"/>
          <w:szCs w:val="20"/>
        </w:rPr>
        <w:t>History and Initial Presentation</w:t>
      </w:r>
    </w:p>
    <w:p w14:paraId="08103EA3" w14:textId="77777777" w:rsidR="005601EA" w:rsidRPr="00403D9E" w:rsidRDefault="005601EA" w:rsidP="00403D9E">
      <w:pPr>
        <w:contextualSpacing/>
        <w:mirrorIndents/>
        <w:jc w:val="both"/>
        <w:rPr>
          <w:sz w:val="20"/>
          <w:szCs w:val="20"/>
        </w:rPr>
      </w:pPr>
    </w:p>
    <w:p w14:paraId="5AFCFF9B" w14:textId="2CD47B83" w:rsidR="00211916" w:rsidRPr="00403D9E" w:rsidRDefault="001D6DF5" w:rsidP="00403D9E">
      <w:pPr>
        <w:contextualSpacing/>
        <w:mirrorIndents/>
        <w:jc w:val="both"/>
        <w:rPr>
          <w:sz w:val="20"/>
          <w:szCs w:val="20"/>
        </w:rPr>
      </w:pPr>
      <w:r w:rsidRPr="00403D9E">
        <w:rPr>
          <w:sz w:val="20"/>
          <w:szCs w:val="20"/>
        </w:rPr>
        <w:t>A</w:t>
      </w:r>
      <w:r w:rsidR="00211916" w:rsidRPr="00403D9E">
        <w:rPr>
          <w:sz w:val="20"/>
          <w:szCs w:val="20"/>
        </w:rPr>
        <w:t xml:space="preserve"> 67 year old </w:t>
      </w:r>
      <w:r w:rsidR="00E3722C" w:rsidRPr="00403D9E">
        <w:rPr>
          <w:sz w:val="20"/>
          <w:szCs w:val="20"/>
        </w:rPr>
        <w:t>w</w:t>
      </w:r>
      <w:r w:rsidR="00211916" w:rsidRPr="00403D9E">
        <w:rPr>
          <w:sz w:val="20"/>
          <w:szCs w:val="20"/>
        </w:rPr>
        <w:t>hite male with a past medical history of hyperlipidemia, hypertension, type 2 diabetes mellitus</w:t>
      </w:r>
      <w:r w:rsidR="002407DC" w:rsidRPr="00403D9E">
        <w:rPr>
          <w:sz w:val="20"/>
          <w:szCs w:val="20"/>
        </w:rPr>
        <w:t xml:space="preserve">, </w:t>
      </w:r>
      <w:r w:rsidR="00211916" w:rsidRPr="00403D9E">
        <w:rPr>
          <w:sz w:val="20"/>
          <w:szCs w:val="20"/>
        </w:rPr>
        <w:t xml:space="preserve">stage 2 </w:t>
      </w:r>
      <w:r w:rsidR="0071681A" w:rsidRPr="00403D9E">
        <w:rPr>
          <w:sz w:val="20"/>
          <w:szCs w:val="20"/>
        </w:rPr>
        <w:t xml:space="preserve">Chronic Kidney Disease </w:t>
      </w:r>
      <w:r w:rsidR="00211916" w:rsidRPr="00403D9E">
        <w:rPr>
          <w:sz w:val="20"/>
          <w:szCs w:val="20"/>
        </w:rPr>
        <w:t>(CKD), and</w:t>
      </w:r>
      <w:r w:rsidR="00A75B9D" w:rsidRPr="00403D9E">
        <w:rPr>
          <w:sz w:val="20"/>
          <w:szCs w:val="20"/>
        </w:rPr>
        <w:t xml:space="preserve"> C</w:t>
      </w:r>
      <w:r w:rsidR="005F26FA" w:rsidRPr="00403D9E">
        <w:rPr>
          <w:sz w:val="20"/>
          <w:szCs w:val="20"/>
        </w:rPr>
        <w:t>hronic O</w:t>
      </w:r>
      <w:r w:rsidR="009C59C6" w:rsidRPr="00403D9E">
        <w:rPr>
          <w:sz w:val="20"/>
          <w:szCs w:val="20"/>
        </w:rPr>
        <w:t>bstructive P</w:t>
      </w:r>
      <w:r w:rsidR="00A75B9D" w:rsidRPr="00403D9E">
        <w:rPr>
          <w:sz w:val="20"/>
          <w:szCs w:val="20"/>
        </w:rPr>
        <w:t>ulmonary D</w:t>
      </w:r>
      <w:r w:rsidR="00211916" w:rsidRPr="00403D9E">
        <w:rPr>
          <w:sz w:val="20"/>
          <w:szCs w:val="20"/>
        </w:rPr>
        <w:t xml:space="preserve">isease </w:t>
      </w:r>
      <w:r w:rsidR="00F215FE" w:rsidRPr="00403D9E">
        <w:rPr>
          <w:sz w:val="20"/>
          <w:szCs w:val="20"/>
        </w:rPr>
        <w:t xml:space="preserve">(COPD) </w:t>
      </w:r>
      <w:r w:rsidRPr="00403D9E">
        <w:rPr>
          <w:sz w:val="20"/>
          <w:szCs w:val="20"/>
        </w:rPr>
        <w:t>presented</w:t>
      </w:r>
      <w:r w:rsidR="00211916" w:rsidRPr="00403D9E">
        <w:rPr>
          <w:sz w:val="20"/>
          <w:szCs w:val="20"/>
        </w:rPr>
        <w:t xml:space="preserve"> after being found unresponsive. </w:t>
      </w:r>
      <w:r w:rsidRPr="00403D9E">
        <w:rPr>
          <w:sz w:val="20"/>
          <w:szCs w:val="20"/>
        </w:rPr>
        <w:t xml:space="preserve">He was unable to participate in the </w:t>
      </w:r>
      <w:r w:rsidR="00211916" w:rsidRPr="00403D9E">
        <w:rPr>
          <w:sz w:val="20"/>
          <w:szCs w:val="20"/>
        </w:rPr>
        <w:t xml:space="preserve">initial history </w:t>
      </w:r>
      <w:r w:rsidR="00984027" w:rsidRPr="00403D9E">
        <w:rPr>
          <w:sz w:val="20"/>
          <w:szCs w:val="20"/>
        </w:rPr>
        <w:t>due to his</w:t>
      </w:r>
      <w:r w:rsidR="00211916" w:rsidRPr="00403D9E">
        <w:rPr>
          <w:sz w:val="20"/>
          <w:szCs w:val="20"/>
        </w:rPr>
        <w:t xml:space="preserve"> </w:t>
      </w:r>
      <w:r w:rsidR="00984027" w:rsidRPr="00403D9E">
        <w:rPr>
          <w:sz w:val="20"/>
          <w:szCs w:val="20"/>
        </w:rPr>
        <w:t>stuporous</w:t>
      </w:r>
      <w:r w:rsidR="00211916" w:rsidRPr="00403D9E">
        <w:rPr>
          <w:sz w:val="20"/>
          <w:szCs w:val="20"/>
        </w:rPr>
        <w:t xml:space="preserve"> state with a </w:t>
      </w:r>
      <w:r w:rsidR="00984027" w:rsidRPr="00403D9E">
        <w:rPr>
          <w:sz w:val="20"/>
          <w:szCs w:val="20"/>
        </w:rPr>
        <w:t>Glasgow Coma Score (GCS)</w:t>
      </w:r>
      <w:r w:rsidR="00211916" w:rsidRPr="00403D9E">
        <w:rPr>
          <w:sz w:val="20"/>
          <w:szCs w:val="20"/>
        </w:rPr>
        <w:t xml:space="preserve"> of </w:t>
      </w:r>
      <w:proofErr w:type="gramStart"/>
      <w:r w:rsidR="00211916" w:rsidRPr="00403D9E">
        <w:rPr>
          <w:sz w:val="20"/>
          <w:szCs w:val="20"/>
        </w:rPr>
        <w:t>9</w:t>
      </w:r>
      <w:proofErr w:type="gramEnd"/>
      <w:r w:rsidR="00211916" w:rsidRPr="00403D9E">
        <w:rPr>
          <w:sz w:val="20"/>
          <w:szCs w:val="20"/>
        </w:rPr>
        <w:t xml:space="preserve">. </w:t>
      </w:r>
      <w:r w:rsidR="0008542E" w:rsidRPr="00403D9E">
        <w:rPr>
          <w:sz w:val="20"/>
          <w:szCs w:val="20"/>
        </w:rPr>
        <w:t xml:space="preserve">Medication reconciliation showed that the patient’s medications </w:t>
      </w:r>
      <w:r w:rsidR="00BB0874" w:rsidRPr="00403D9E">
        <w:rPr>
          <w:sz w:val="20"/>
          <w:szCs w:val="20"/>
        </w:rPr>
        <w:t>included</w:t>
      </w:r>
      <w:r w:rsidR="0008542E" w:rsidRPr="00403D9E">
        <w:rPr>
          <w:sz w:val="20"/>
          <w:szCs w:val="20"/>
        </w:rPr>
        <w:t xml:space="preserve"> fenofibrate 145 mg every other day,</w:t>
      </w:r>
      <w:r w:rsidR="00BF4679" w:rsidRPr="00403D9E">
        <w:rPr>
          <w:sz w:val="20"/>
          <w:szCs w:val="20"/>
        </w:rPr>
        <w:t xml:space="preserve"> </w:t>
      </w:r>
      <w:r w:rsidR="0008542E" w:rsidRPr="00403D9E">
        <w:rPr>
          <w:sz w:val="20"/>
          <w:szCs w:val="20"/>
        </w:rPr>
        <w:t>empagliflozin 10 mg daily, and insulin lispro</w:t>
      </w:r>
      <w:r w:rsidR="00BF4679" w:rsidRPr="00403D9E">
        <w:rPr>
          <w:sz w:val="20"/>
          <w:szCs w:val="20"/>
        </w:rPr>
        <w:t xml:space="preserve"> reported to be 30 units four times daily</w:t>
      </w:r>
      <w:r w:rsidR="0008542E" w:rsidRPr="00403D9E">
        <w:rPr>
          <w:sz w:val="20"/>
          <w:szCs w:val="20"/>
        </w:rPr>
        <w:t xml:space="preserve">. </w:t>
      </w:r>
      <w:r w:rsidR="00211916" w:rsidRPr="00403D9E">
        <w:rPr>
          <w:sz w:val="20"/>
          <w:szCs w:val="20"/>
        </w:rPr>
        <w:t xml:space="preserve">He was </w:t>
      </w:r>
      <w:proofErr w:type="gramStart"/>
      <w:r w:rsidR="00984027" w:rsidRPr="00403D9E">
        <w:rPr>
          <w:sz w:val="20"/>
          <w:szCs w:val="20"/>
        </w:rPr>
        <w:t>ill-appearing</w:t>
      </w:r>
      <w:proofErr w:type="gramEnd"/>
      <w:r w:rsidR="00984027" w:rsidRPr="00403D9E">
        <w:rPr>
          <w:sz w:val="20"/>
          <w:szCs w:val="20"/>
        </w:rPr>
        <w:t xml:space="preserve">, </w:t>
      </w:r>
      <w:r w:rsidR="00211916" w:rsidRPr="00403D9E">
        <w:rPr>
          <w:sz w:val="20"/>
          <w:szCs w:val="20"/>
        </w:rPr>
        <w:t>tachypneic</w:t>
      </w:r>
      <w:r w:rsidR="000D0893" w:rsidRPr="00403D9E">
        <w:rPr>
          <w:sz w:val="20"/>
          <w:szCs w:val="20"/>
        </w:rPr>
        <w:t>,</w:t>
      </w:r>
      <w:r w:rsidR="00211916" w:rsidRPr="00403D9E">
        <w:rPr>
          <w:sz w:val="20"/>
          <w:szCs w:val="20"/>
        </w:rPr>
        <w:t xml:space="preserve"> and tachycardic. </w:t>
      </w:r>
      <w:r w:rsidR="00F215FE" w:rsidRPr="00403D9E">
        <w:rPr>
          <w:sz w:val="20"/>
          <w:szCs w:val="20"/>
        </w:rPr>
        <w:t xml:space="preserve">He </w:t>
      </w:r>
      <w:r w:rsidR="00984027" w:rsidRPr="00403D9E">
        <w:rPr>
          <w:sz w:val="20"/>
          <w:szCs w:val="20"/>
        </w:rPr>
        <w:t>had</w:t>
      </w:r>
      <w:r w:rsidR="00F215FE" w:rsidRPr="00403D9E">
        <w:rPr>
          <w:sz w:val="20"/>
          <w:szCs w:val="20"/>
        </w:rPr>
        <w:t xml:space="preserve"> generalized abdominal tendernes</w:t>
      </w:r>
      <w:r w:rsidR="00984027" w:rsidRPr="00403D9E">
        <w:rPr>
          <w:sz w:val="20"/>
          <w:szCs w:val="20"/>
        </w:rPr>
        <w:t xml:space="preserve">s; however, his altered mentation limited the </w:t>
      </w:r>
      <w:r w:rsidR="00AE1D8A" w:rsidRPr="00403D9E">
        <w:rPr>
          <w:sz w:val="20"/>
          <w:szCs w:val="20"/>
        </w:rPr>
        <w:t xml:space="preserve">utility of the physical </w:t>
      </w:r>
      <w:r w:rsidR="00984027" w:rsidRPr="00403D9E">
        <w:rPr>
          <w:sz w:val="20"/>
          <w:szCs w:val="20"/>
        </w:rPr>
        <w:t>exam</w:t>
      </w:r>
      <w:r w:rsidR="00F215FE" w:rsidRPr="00403D9E">
        <w:rPr>
          <w:sz w:val="20"/>
          <w:szCs w:val="20"/>
        </w:rPr>
        <w:t>.</w:t>
      </w:r>
    </w:p>
    <w:p w14:paraId="3EB20DF8" w14:textId="77777777" w:rsidR="007C15BF" w:rsidRPr="00403D9E" w:rsidRDefault="007C15BF" w:rsidP="00403D9E">
      <w:pPr>
        <w:contextualSpacing/>
        <w:mirrorIndents/>
        <w:jc w:val="both"/>
        <w:rPr>
          <w:strike/>
          <w:sz w:val="20"/>
          <w:szCs w:val="20"/>
        </w:rPr>
      </w:pPr>
    </w:p>
    <w:p w14:paraId="28146107" w14:textId="26DE281D" w:rsidR="00AB5CD8" w:rsidRPr="00403D9E" w:rsidRDefault="00AE1D8A" w:rsidP="00403D9E">
      <w:pPr>
        <w:contextualSpacing/>
        <w:mirrorIndents/>
        <w:jc w:val="both"/>
        <w:rPr>
          <w:sz w:val="20"/>
          <w:szCs w:val="20"/>
        </w:rPr>
      </w:pPr>
      <w:r w:rsidRPr="00403D9E">
        <w:rPr>
          <w:sz w:val="20"/>
          <w:szCs w:val="20"/>
        </w:rPr>
        <w:t>The i</w:t>
      </w:r>
      <w:r w:rsidR="00AB5CD8" w:rsidRPr="00403D9E">
        <w:rPr>
          <w:sz w:val="20"/>
          <w:szCs w:val="20"/>
        </w:rPr>
        <w:t xml:space="preserve">nitial work-up showed a metabolic acidosis with an increased anion gap, hyperglycemia, the presence of serum acetones, and acute on chronic renal failure. His hemoglobin </w:t>
      </w:r>
      <w:proofErr w:type="gramStart"/>
      <w:r w:rsidR="00AB5CD8" w:rsidRPr="00403D9E">
        <w:rPr>
          <w:sz w:val="20"/>
          <w:szCs w:val="20"/>
        </w:rPr>
        <w:t>A1c</w:t>
      </w:r>
      <w:proofErr w:type="gramEnd"/>
      <w:r w:rsidR="00AB5CD8" w:rsidRPr="00403D9E">
        <w:rPr>
          <w:sz w:val="20"/>
          <w:szCs w:val="20"/>
        </w:rPr>
        <w:t xml:space="preserve"> was 11.3, and his triglycerides, lipase, and amylase were elevated </w:t>
      </w:r>
      <w:r w:rsidR="008F6B98" w:rsidRPr="00403D9E">
        <w:rPr>
          <w:color w:val="FF0000"/>
          <w:sz w:val="20"/>
          <w:szCs w:val="20"/>
        </w:rPr>
        <w:t>(T</w:t>
      </w:r>
      <w:r w:rsidR="00AB5CD8" w:rsidRPr="00403D9E">
        <w:rPr>
          <w:color w:val="FF0000"/>
          <w:sz w:val="20"/>
          <w:szCs w:val="20"/>
        </w:rPr>
        <w:t xml:space="preserve">able </w:t>
      </w:r>
      <w:r w:rsidR="00FD7D1D" w:rsidRPr="00403D9E">
        <w:rPr>
          <w:color w:val="FF0000"/>
          <w:sz w:val="20"/>
          <w:szCs w:val="20"/>
        </w:rPr>
        <w:t>2</w:t>
      </w:r>
      <w:r w:rsidR="00AB5CD8" w:rsidRPr="00403D9E">
        <w:rPr>
          <w:color w:val="FF0000"/>
          <w:sz w:val="20"/>
          <w:szCs w:val="20"/>
        </w:rPr>
        <w:t>)</w:t>
      </w:r>
      <w:r w:rsidR="00AB5CD8" w:rsidRPr="00403D9E">
        <w:rPr>
          <w:sz w:val="20"/>
          <w:szCs w:val="20"/>
        </w:rPr>
        <w:t xml:space="preserve">. A urinalysis showed ketonuria and glucosuria, but no signs of infection. A non-contrast CT of the abdomen and pelvis </w:t>
      </w:r>
      <w:proofErr w:type="gramStart"/>
      <w:r w:rsidR="00AB5CD8" w:rsidRPr="00403D9E">
        <w:rPr>
          <w:sz w:val="20"/>
          <w:szCs w:val="20"/>
        </w:rPr>
        <w:t>was obtained</w:t>
      </w:r>
      <w:proofErr w:type="gramEnd"/>
      <w:r w:rsidR="00AB5CD8" w:rsidRPr="00403D9E">
        <w:rPr>
          <w:sz w:val="20"/>
          <w:szCs w:val="20"/>
        </w:rPr>
        <w:t xml:space="preserve"> which revealed a normal pancreas</w:t>
      </w:r>
      <w:r w:rsidR="005D030A" w:rsidRPr="00403D9E">
        <w:rPr>
          <w:sz w:val="20"/>
          <w:szCs w:val="20"/>
        </w:rPr>
        <w:t xml:space="preserve">; </w:t>
      </w:r>
      <w:r w:rsidR="00AB5CD8" w:rsidRPr="00403D9E">
        <w:rPr>
          <w:sz w:val="20"/>
          <w:szCs w:val="20"/>
        </w:rPr>
        <w:t>a jejunal infarction was noted</w:t>
      </w:r>
      <w:r w:rsidR="00AB5CD8" w:rsidRPr="00403D9E">
        <w:rPr>
          <w:color w:val="FF0000"/>
          <w:sz w:val="20"/>
          <w:szCs w:val="20"/>
        </w:rPr>
        <w:t xml:space="preserve"> </w:t>
      </w:r>
      <w:r w:rsidRPr="00403D9E">
        <w:rPr>
          <w:sz w:val="20"/>
          <w:szCs w:val="20"/>
        </w:rPr>
        <w:t>and</w:t>
      </w:r>
      <w:r w:rsidR="00AB5CD8" w:rsidRPr="00403D9E">
        <w:rPr>
          <w:sz w:val="20"/>
          <w:szCs w:val="20"/>
        </w:rPr>
        <w:t xml:space="preserve"> was managed non-surgically. A non-contrast CT of the head did not </w:t>
      </w:r>
      <w:r w:rsidR="00F86000" w:rsidRPr="00403D9E">
        <w:rPr>
          <w:sz w:val="20"/>
          <w:szCs w:val="20"/>
        </w:rPr>
        <w:t xml:space="preserve">show </w:t>
      </w:r>
      <w:r w:rsidR="00AB5CD8" w:rsidRPr="00403D9E">
        <w:rPr>
          <w:sz w:val="20"/>
          <w:szCs w:val="20"/>
        </w:rPr>
        <w:t xml:space="preserve">acute intracranial pathology. The patient </w:t>
      </w:r>
      <w:proofErr w:type="gramStart"/>
      <w:r w:rsidR="00AB5CD8" w:rsidRPr="00403D9E">
        <w:rPr>
          <w:sz w:val="20"/>
          <w:szCs w:val="20"/>
        </w:rPr>
        <w:t>was admitted</w:t>
      </w:r>
      <w:proofErr w:type="gramEnd"/>
      <w:r w:rsidR="00AB5CD8" w:rsidRPr="00403D9E">
        <w:rPr>
          <w:sz w:val="20"/>
          <w:szCs w:val="20"/>
        </w:rPr>
        <w:t xml:space="preserve"> to the ICU with DKA, acute on chronic renal failure, and hypertriglyceridemia induced mild pancreatitis.</w:t>
      </w:r>
    </w:p>
    <w:p w14:paraId="4977EB64" w14:textId="77777777" w:rsidR="007C15BF" w:rsidRPr="00403D9E" w:rsidRDefault="007C15BF" w:rsidP="00403D9E">
      <w:pPr>
        <w:contextualSpacing/>
        <w:mirrorIndents/>
        <w:jc w:val="both"/>
        <w:rPr>
          <w:strike/>
          <w:sz w:val="20"/>
          <w:szCs w:val="20"/>
        </w:rPr>
      </w:pPr>
    </w:p>
    <w:p w14:paraId="36E6C815" w14:textId="188E44E8" w:rsidR="00211916" w:rsidRPr="00403D9E" w:rsidRDefault="00211916" w:rsidP="00403D9E">
      <w:pPr>
        <w:contextualSpacing/>
        <w:mirrorIndents/>
        <w:jc w:val="both"/>
        <w:rPr>
          <w:b/>
          <w:sz w:val="20"/>
          <w:szCs w:val="20"/>
        </w:rPr>
      </w:pPr>
      <w:r w:rsidRPr="00403D9E">
        <w:rPr>
          <w:b/>
          <w:sz w:val="20"/>
          <w:szCs w:val="20"/>
        </w:rPr>
        <w:t>Clinical Course and Management </w:t>
      </w:r>
    </w:p>
    <w:p w14:paraId="24F62923" w14:textId="77777777" w:rsidR="007C15BF" w:rsidRPr="00403D9E" w:rsidRDefault="007C15BF" w:rsidP="00403D9E">
      <w:pPr>
        <w:contextualSpacing/>
        <w:mirrorIndents/>
        <w:jc w:val="both"/>
        <w:rPr>
          <w:sz w:val="20"/>
          <w:szCs w:val="20"/>
        </w:rPr>
      </w:pPr>
    </w:p>
    <w:p w14:paraId="231A1DE6" w14:textId="0DE6EF5E" w:rsidR="00876A16" w:rsidRPr="00403D9E" w:rsidRDefault="00BB0874" w:rsidP="00403D9E">
      <w:pPr>
        <w:contextualSpacing/>
        <w:mirrorIndents/>
        <w:jc w:val="both"/>
        <w:rPr>
          <w:sz w:val="20"/>
          <w:szCs w:val="20"/>
        </w:rPr>
      </w:pPr>
      <w:r w:rsidRPr="00403D9E">
        <w:rPr>
          <w:sz w:val="20"/>
          <w:szCs w:val="20"/>
        </w:rPr>
        <w:t xml:space="preserve">The patient </w:t>
      </w:r>
      <w:proofErr w:type="gramStart"/>
      <w:r w:rsidRPr="00403D9E">
        <w:rPr>
          <w:sz w:val="20"/>
          <w:szCs w:val="20"/>
        </w:rPr>
        <w:t>was resuscitated</w:t>
      </w:r>
      <w:proofErr w:type="gramEnd"/>
      <w:r w:rsidRPr="00403D9E">
        <w:rPr>
          <w:sz w:val="20"/>
          <w:szCs w:val="20"/>
        </w:rPr>
        <w:t xml:space="preserve"> with balanced crystalloids and received an insulin infusion. Daily insulin values </w:t>
      </w:r>
      <w:proofErr w:type="gramStart"/>
      <w:r w:rsidRPr="00403D9E">
        <w:rPr>
          <w:sz w:val="20"/>
          <w:szCs w:val="20"/>
        </w:rPr>
        <w:t xml:space="preserve">are </w:t>
      </w:r>
      <w:r w:rsidR="00F86000" w:rsidRPr="00403D9E">
        <w:rPr>
          <w:sz w:val="20"/>
          <w:szCs w:val="20"/>
        </w:rPr>
        <w:t>shown</w:t>
      </w:r>
      <w:proofErr w:type="gramEnd"/>
      <w:r w:rsidRPr="00403D9E">
        <w:rPr>
          <w:sz w:val="20"/>
          <w:szCs w:val="20"/>
        </w:rPr>
        <w:t xml:space="preserve"> in </w:t>
      </w:r>
      <w:r w:rsidR="00C61D35" w:rsidRPr="00403D9E">
        <w:rPr>
          <w:color w:val="FF0000"/>
          <w:sz w:val="20"/>
          <w:szCs w:val="20"/>
        </w:rPr>
        <w:t>(</w:t>
      </w:r>
      <w:r w:rsidR="00F93EC7" w:rsidRPr="00403D9E">
        <w:rPr>
          <w:color w:val="FF0000"/>
          <w:sz w:val="20"/>
          <w:szCs w:val="20"/>
        </w:rPr>
        <w:t>F</w:t>
      </w:r>
      <w:r w:rsidR="00FD7D1D" w:rsidRPr="00403D9E">
        <w:rPr>
          <w:color w:val="FF0000"/>
          <w:sz w:val="20"/>
          <w:szCs w:val="20"/>
        </w:rPr>
        <w:t>igure 2</w:t>
      </w:r>
      <w:r w:rsidR="00C61D35" w:rsidRPr="00403D9E">
        <w:rPr>
          <w:color w:val="FF0000"/>
          <w:sz w:val="20"/>
          <w:szCs w:val="20"/>
        </w:rPr>
        <w:t>)</w:t>
      </w:r>
      <w:r w:rsidRPr="00403D9E">
        <w:rPr>
          <w:sz w:val="20"/>
          <w:szCs w:val="20"/>
        </w:rPr>
        <w:t>.</w:t>
      </w:r>
      <w:r w:rsidR="00E11E10" w:rsidRPr="00403D9E">
        <w:rPr>
          <w:sz w:val="20"/>
          <w:szCs w:val="20"/>
        </w:rPr>
        <w:t xml:space="preserve"> </w:t>
      </w:r>
      <w:r w:rsidR="00211916" w:rsidRPr="00403D9E">
        <w:rPr>
          <w:sz w:val="20"/>
          <w:szCs w:val="20"/>
        </w:rPr>
        <w:t xml:space="preserve">Shortly after admission, he </w:t>
      </w:r>
      <w:r w:rsidR="005B78AC" w:rsidRPr="00403D9E">
        <w:rPr>
          <w:sz w:val="20"/>
          <w:szCs w:val="20"/>
        </w:rPr>
        <w:t xml:space="preserve">developed respiratory failure secondary to </w:t>
      </w:r>
      <w:r w:rsidR="0040174F" w:rsidRPr="00403D9E">
        <w:rPr>
          <w:sz w:val="20"/>
          <w:szCs w:val="20"/>
        </w:rPr>
        <w:t xml:space="preserve">multi-organ failure </w:t>
      </w:r>
      <w:r w:rsidR="00F6456F" w:rsidRPr="00403D9E">
        <w:rPr>
          <w:sz w:val="20"/>
          <w:szCs w:val="20"/>
        </w:rPr>
        <w:t>and</w:t>
      </w:r>
      <w:r w:rsidR="0040174F" w:rsidRPr="00403D9E">
        <w:rPr>
          <w:sz w:val="20"/>
          <w:szCs w:val="20"/>
        </w:rPr>
        <w:t xml:space="preserve"> required</w:t>
      </w:r>
      <w:r w:rsidR="00211916" w:rsidRPr="00403D9E">
        <w:rPr>
          <w:sz w:val="20"/>
          <w:szCs w:val="20"/>
        </w:rPr>
        <w:t xml:space="preserve"> mechanical ventilation. His course </w:t>
      </w:r>
      <w:proofErr w:type="gramStart"/>
      <w:r w:rsidR="00211916" w:rsidRPr="00403D9E">
        <w:rPr>
          <w:sz w:val="20"/>
          <w:szCs w:val="20"/>
        </w:rPr>
        <w:t>was further complicated</w:t>
      </w:r>
      <w:proofErr w:type="gramEnd"/>
      <w:r w:rsidR="00211916" w:rsidRPr="00403D9E">
        <w:rPr>
          <w:sz w:val="20"/>
          <w:szCs w:val="20"/>
        </w:rPr>
        <w:t xml:space="preserve"> by</w:t>
      </w:r>
      <w:r w:rsidR="005B78AC" w:rsidRPr="00403D9E">
        <w:rPr>
          <w:sz w:val="20"/>
          <w:szCs w:val="20"/>
        </w:rPr>
        <w:t xml:space="preserve"> </w:t>
      </w:r>
      <w:r w:rsidR="00061D6D" w:rsidRPr="00403D9E">
        <w:rPr>
          <w:sz w:val="20"/>
          <w:szCs w:val="20"/>
        </w:rPr>
        <w:t>generalized tonic-clonic</w:t>
      </w:r>
      <w:r w:rsidR="00211916" w:rsidRPr="00403D9E">
        <w:rPr>
          <w:sz w:val="20"/>
          <w:szCs w:val="20"/>
        </w:rPr>
        <w:t xml:space="preserve"> seizures </w:t>
      </w:r>
      <w:r w:rsidR="0040174F" w:rsidRPr="00403D9E">
        <w:rPr>
          <w:sz w:val="20"/>
          <w:szCs w:val="20"/>
        </w:rPr>
        <w:t>felt to be precipitated by metabolic derangements including</w:t>
      </w:r>
      <w:r w:rsidR="00211916" w:rsidRPr="00403D9E">
        <w:rPr>
          <w:sz w:val="20"/>
          <w:szCs w:val="20"/>
        </w:rPr>
        <w:t xml:space="preserve"> hypernatremia with a peak serum sodium of 164 mmol/L. </w:t>
      </w:r>
      <w:r w:rsidR="005B78AC" w:rsidRPr="00403D9E">
        <w:rPr>
          <w:sz w:val="20"/>
          <w:szCs w:val="20"/>
        </w:rPr>
        <w:t xml:space="preserve">A continuous electroencephalogram </w:t>
      </w:r>
      <w:proofErr w:type="gramStart"/>
      <w:r w:rsidR="005B78AC" w:rsidRPr="00403D9E">
        <w:rPr>
          <w:sz w:val="20"/>
          <w:szCs w:val="20"/>
        </w:rPr>
        <w:t>was obtained</w:t>
      </w:r>
      <w:proofErr w:type="gramEnd"/>
      <w:r w:rsidR="005B78AC" w:rsidRPr="00403D9E">
        <w:rPr>
          <w:sz w:val="20"/>
          <w:szCs w:val="20"/>
        </w:rPr>
        <w:t xml:space="preserve"> and the patient was initiated on levetiracetam. </w:t>
      </w:r>
      <w:r w:rsidR="00211916" w:rsidRPr="00403D9E">
        <w:rPr>
          <w:sz w:val="20"/>
          <w:szCs w:val="20"/>
        </w:rPr>
        <w:t>By ICU day 7, the anion gap metabolic acidosis had resolved</w:t>
      </w:r>
      <w:r w:rsidR="005B78AC" w:rsidRPr="00403D9E">
        <w:rPr>
          <w:sz w:val="20"/>
          <w:szCs w:val="20"/>
        </w:rPr>
        <w:t xml:space="preserve">, </w:t>
      </w:r>
      <w:r w:rsidR="0040174F" w:rsidRPr="00403D9E">
        <w:rPr>
          <w:sz w:val="20"/>
          <w:szCs w:val="20"/>
        </w:rPr>
        <w:t>there were no further seizures</w:t>
      </w:r>
      <w:r w:rsidR="005B78AC" w:rsidRPr="00403D9E">
        <w:rPr>
          <w:sz w:val="20"/>
          <w:szCs w:val="20"/>
        </w:rPr>
        <w:t>,</w:t>
      </w:r>
      <w:r w:rsidR="00211916" w:rsidRPr="00403D9E">
        <w:rPr>
          <w:sz w:val="20"/>
          <w:szCs w:val="20"/>
        </w:rPr>
        <w:t xml:space="preserve"> and </w:t>
      </w:r>
      <w:r w:rsidR="0040174F" w:rsidRPr="00403D9E">
        <w:rPr>
          <w:sz w:val="20"/>
          <w:szCs w:val="20"/>
        </w:rPr>
        <w:t xml:space="preserve">the patient’s neurological </w:t>
      </w:r>
      <w:r w:rsidR="0077435E" w:rsidRPr="00403D9E">
        <w:rPr>
          <w:sz w:val="20"/>
          <w:szCs w:val="20"/>
        </w:rPr>
        <w:t>status</w:t>
      </w:r>
      <w:r w:rsidR="0040174F" w:rsidRPr="00403D9E">
        <w:rPr>
          <w:sz w:val="20"/>
          <w:szCs w:val="20"/>
        </w:rPr>
        <w:t xml:space="preserve"> had improved </w:t>
      </w:r>
      <w:r w:rsidR="00570299" w:rsidRPr="00403D9E">
        <w:rPr>
          <w:sz w:val="20"/>
          <w:szCs w:val="20"/>
        </w:rPr>
        <w:t xml:space="preserve">allowing for successful </w:t>
      </w:r>
      <w:r w:rsidR="0077435E" w:rsidRPr="00403D9E">
        <w:rPr>
          <w:sz w:val="20"/>
          <w:szCs w:val="20"/>
        </w:rPr>
        <w:t>liberation</w:t>
      </w:r>
      <w:r w:rsidR="00F86000" w:rsidRPr="00403D9E">
        <w:rPr>
          <w:sz w:val="20"/>
          <w:szCs w:val="20"/>
        </w:rPr>
        <w:t xml:space="preserve"> from mechanical ventilation</w:t>
      </w:r>
      <w:r w:rsidR="00211916" w:rsidRPr="00403D9E">
        <w:rPr>
          <w:sz w:val="20"/>
          <w:szCs w:val="20"/>
        </w:rPr>
        <w:t>.</w:t>
      </w:r>
      <w:r w:rsidR="000C37DF" w:rsidRPr="00403D9E">
        <w:rPr>
          <w:sz w:val="20"/>
          <w:szCs w:val="20"/>
        </w:rPr>
        <w:t xml:space="preserve"> </w:t>
      </w:r>
      <w:r w:rsidR="0040174F" w:rsidRPr="00403D9E">
        <w:rPr>
          <w:sz w:val="20"/>
          <w:szCs w:val="20"/>
        </w:rPr>
        <w:t>The following day</w:t>
      </w:r>
      <w:r w:rsidR="005B78AC" w:rsidRPr="00403D9E">
        <w:rPr>
          <w:sz w:val="20"/>
          <w:szCs w:val="20"/>
        </w:rPr>
        <w:t xml:space="preserve">, </w:t>
      </w:r>
      <w:r w:rsidR="005825A2" w:rsidRPr="00403D9E">
        <w:rPr>
          <w:sz w:val="20"/>
          <w:szCs w:val="20"/>
        </w:rPr>
        <w:t xml:space="preserve">an attempt </w:t>
      </w:r>
      <w:proofErr w:type="gramStart"/>
      <w:r w:rsidR="005825A2" w:rsidRPr="00403D9E">
        <w:rPr>
          <w:sz w:val="20"/>
          <w:szCs w:val="20"/>
        </w:rPr>
        <w:t>was made</w:t>
      </w:r>
      <w:proofErr w:type="gramEnd"/>
      <w:r w:rsidR="005825A2" w:rsidRPr="00403D9E">
        <w:rPr>
          <w:sz w:val="20"/>
          <w:szCs w:val="20"/>
        </w:rPr>
        <w:t xml:space="preserve"> to </w:t>
      </w:r>
      <w:r w:rsidR="00211916" w:rsidRPr="00403D9E">
        <w:rPr>
          <w:sz w:val="20"/>
          <w:szCs w:val="20"/>
        </w:rPr>
        <w:t xml:space="preserve">transition from an insulin infusion to </w:t>
      </w:r>
      <w:r w:rsidRPr="00403D9E">
        <w:rPr>
          <w:sz w:val="20"/>
          <w:szCs w:val="20"/>
        </w:rPr>
        <w:t>insulin</w:t>
      </w:r>
      <w:r w:rsidR="00211916" w:rsidRPr="00403D9E">
        <w:rPr>
          <w:sz w:val="20"/>
          <w:szCs w:val="20"/>
        </w:rPr>
        <w:t xml:space="preserve"> </w:t>
      </w:r>
      <w:r w:rsidR="00F6456F" w:rsidRPr="00403D9E">
        <w:rPr>
          <w:sz w:val="20"/>
          <w:szCs w:val="20"/>
        </w:rPr>
        <w:t>glargine</w:t>
      </w:r>
      <w:r w:rsidR="00211916" w:rsidRPr="00403D9E">
        <w:rPr>
          <w:sz w:val="20"/>
          <w:szCs w:val="20"/>
        </w:rPr>
        <w:t xml:space="preserve">. </w:t>
      </w:r>
      <w:r w:rsidR="0040174F" w:rsidRPr="00403D9E">
        <w:rPr>
          <w:sz w:val="20"/>
          <w:szCs w:val="20"/>
        </w:rPr>
        <w:t>Within t</w:t>
      </w:r>
      <w:r w:rsidR="00983A09" w:rsidRPr="00403D9E">
        <w:rPr>
          <w:sz w:val="20"/>
          <w:szCs w:val="20"/>
        </w:rPr>
        <w:t>en hours</w:t>
      </w:r>
      <w:r w:rsidR="00211916" w:rsidRPr="00403D9E">
        <w:rPr>
          <w:sz w:val="20"/>
          <w:szCs w:val="20"/>
        </w:rPr>
        <w:t xml:space="preserve">, repeat serum chemistries </w:t>
      </w:r>
      <w:r w:rsidR="00570299" w:rsidRPr="00403D9E">
        <w:rPr>
          <w:sz w:val="20"/>
          <w:szCs w:val="20"/>
        </w:rPr>
        <w:t>showed</w:t>
      </w:r>
      <w:r w:rsidR="00211916" w:rsidRPr="00403D9E">
        <w:rPr>
          <w:sz w:val="20"/>
          <w:szCs w:val="20"/>
        </w:rPr>
        <w:t xml:space="preserve"> </w:t>
      </w:r>
      <w:r w:rsidR="00FE28C7" w:rsidRPr="00403D9E">
        <w:rPr>
          <w:sz w:val="20"/>
          <w:szCs w:val="20"/>
        </w:rPr>
        <w:t xml:space="preserve">a </w:t>
      </w:r>
      <w:r w:rsidR="005825A2" w:rsidRPr="00403D9E">
        <w:rPr>
          <w:sz w:val="20"/>
          <w:szCs w:val="20"/>
        </w:rPr>
        <w:t>severe</w:t>
      </w:r>
      <w:r w:rsidR="00211916" w:rsidRPr="00403D9E">
        <w:rPr>
          <w:sz w:val="20"/>
          <w:szCs w:val="20"/>
        </w:rPr>
        <w:t xml:space="preserve"> metabolic acidosis</w:t>
      </w:r>
      <w:r w:rsidR="005825A2" w:rsidRPr="00403D9E">
        <w:rPr>
          <w:sz w:val="20"/>
          <w:szCs w:val="20"/>
        </w:rPr>
        <w:t xml:space="preserve"> with an anion gap</w:t>
      </w:r>
      <w:r w:rsidR="00FF300D" w:rsidRPr="00403D9E">
        <w:rPr>
          <w:sz w:val="20"/>
          <w:szCs w:val="20"/>
        </w:rPr>
        <w:t xml:space="preserve"> of 31</w:t>
      </w:r>
      <w:r w:rsidR="005825A2" w:rsidRPr="00403D9E">
        <w:rPr>
          <w:sz w:val="20"/>
          <w:szCs w:val="20"/>
        </w:rPr>
        <w:t xml:space="preserve"> </w:t>
      </w:r>
      <w:r w:rsidR="00211916" w:rsidRPr="00403D9E">
        <w:rPr>
          <w:sz w:val="20"/>
          <w:szCs w:val="20"/>
        </w:rPr>
        <w:t>and</w:t>
      </w:r>
      <w:r w:rsidR="005825A2" w:rsidRPr="00403D9E">
        <w:rPr>
          <w:sz w:val="20"/>
          <w:szCs w:val="20"/>
        </w:rPr>
        <w:t xml:space="preserve"> elevated</w:t>
      </w:r>
      <w:r w:rsidR="00211916" w:rsidRPr="00403D9E">
        <w:rPr>
          <w:sz w:val="20"/>
          <w:szCs w:val="20"/>
        </w:rPr>
        <w:t xml:space="preserve"> serum acetones </w:t>
      </w:r>
      <w:r w:rsidR="00B22F89" w:rsidRPr="00403D9E">
        <w:rPr>
          <w:color w:val="FF0000"/>
          <w:sz w:val="20"/>
          <w:szCs w:val="20"/>
        </w:rPr>
        <w:t>(T</w:t>
      </w:r>
      <w:r w:rsidR="00211916" w:rsidRPr="00403D9E">
        <w:rPr>
          <w:color w:val="FF0000"/>
          <w:sz w:val="20"/>
          <w:szCs w:val="20"/>
        </w:rPr>
        <w:t>able 2)</w:t>
      </w:r>
      <w:r w:rsidR="00211916" w:rsidRPr="00403D9E">
        <w:rPr>
          <w:sz w:val="20"/>
          <w:szCs w:val="20"/>
        </w:rPr>
        <w:t xml:space="preserve">. He </w:t>
      </w:r>
      <w:proofErr w:type="gramStart"/>
      <w:r w:rsidR="00211916" w:rsidRPr="00403D9E">
        <w:rPr>
          <w:sz w:val="20"/>
          <w:szCs w:val="20"/>
        </w:rPr>
        <w:t xml:space="preserve">was </w:t>
      </w:r>
      <w:r w:rsidR="005825A2" w:rsidRPr="00403D9E">
        <w:rPr>
          <w:sz w:val="20"/>
          <w:szCs w:val="20"/>
        </w:rPr>
        <w:t>reinitiated</w:t>
      </w:r>
      <w:proofErr w:type="gramEnd"/>
      <w:r w:rsidR="00211916" w:rsidRPr="00403D9E">
        <w:rPr>
          <w:sz w:val="20"/>
          <w:szCs w:val="20"/>
        </w:rPr>
        <w:t xml:space="preserve"> on an insulin infusion and received additional intravenous fluids. He remained persistently </w:t>
      </w:r>
      <w:r w:rsidR="005825A2" w:rsidRPr="00403D9E">
        <w:rPr>
          <w:sz w:val="20"/>
          <w:szCs w:val="20"/>
        </w:rPr>
        <w:t>acidemic</w:t>
      </w:r>
      <w:r w:rsidR="00211916" w:rsidRPr="00403D9E">
        <w:rPr>
          <w:sz w:val="20"/>
          <w:szCs w:val="20"/>
        </w:rPr>
        <w:t xml:space="preserve"> until day 12. Despite resolution of his acidosis, there continued to be </w:t>
      </w:r>
      <w:r w:rsidR="00FE28C7" w:rsidRPr="00403D9E">
        <w:rPr>
          <w:sz w:val="20"/>
          <w:szCs w:val="20"/>
        </w:rPr>
        <w:t>the</w:t>
      </w:r>
      <w:r w:rsidR="00211916" w:rsidRPr="00403D9E">
        <w:rPr>
          <w:sz w:val="20"/>
          <w:szCs w:val="20"/>
        </w:rPr>
        <w:t xml:space="preserve"> presence of serum acetones</w:t>
      </w:r>
      <w:r w:rsidR="000C37DF" w:rsidRPr="00403D9E">
        <w:rPr>
          <w:sz w:val="20"/>
          <w:szCs w:val="20"/>
        </w:rPr>
        <w:t xml:space="preserve">. </w:t>
      </w:r>
      <w:r w:rsidR="0040174F" w:rsidRPr="00403D9E">
        <w:rPr>
          <w:sz w:val="20"/>
          <w:szCs w:val="20"/>
        </w:rPr>
        <w:t xml:space="preserve">The patient </w:t>
      </w:r>
      <w:proofErr w:type="gramStart"/>
      <w:r w:rsidR="0040174F" w:rsidRPr="00403D9E">
        <w:rPr>
          <w:sz w:val="20"/>
          <w:szCs w:val="20"/>
        </w:rPr>
        <w:t>was maintained</w:t>
      </w:r>
      <w:proofErr w:type="gramEnd"/>
      <w:r w:rsidR="00211916" w:rsidRPr="00403D9E">
        <w:rPr>
          <w:sz w:val="20"/>
          <w:szCs w:val="20"/>
        </w:rPr>
        <w:t xml:space="preserve"> on an intrave</w:t>
      </w:r>
      <w:r w:rsidR="0040174F" w:rsidRPr="00403D9E">
        <w:rPr>
          <w:sz w:val="20"/>
          <w:szCs w:val="20"/>
        </w:rPr>
        <w:t>nous insulin infusion and</w:t>
      </w:r>
      <w:r w:rsidR="00211916" w:rsidRPr="00403D9E">
        <w:rPr>
          <w:sz w:val="20"/>
          <w:szCs w:val="20"/>
        </w:rPr>
        <w:t xml:space="preserve"> subcutaneous </w:t>
      </w:r>
      <w:r w:rsidR="0044233C" w:rsidRPr="00403D9E">
        <w:rPr>
          <w:sz w:val="20"/>
          <w:szCs w:val="20"/>
        </w:rPr>
        <w:t>glargine</w:t>
      </w:r>
      <w:r w:rsidR="00211916" w:rsidRPr="00403D9E">
        <w:rPr>
          <w:sz w:val="20"/>
          <w:szCs w:val="20"/>
        </w:rPr>
        <w:t xml:space="preserve"> until there was </w:t>
      </w:r>
      <w:r w:rsidR="0040174F" w:rsidRPr="00403D9E">
        <w:rPr>
          <w:sz w:val="20"/>
          <w:szCs w:val="20"/>
        </w:rPr>
        <w:t xml:space="preserve">a </w:t>
      </w:r>
      <w:r w:rsidR="00211916" w:rsidRPr="00403D9E">
        <w:rPr>
          <w:sz w:val="20"/>
          <w:szCs w:val="20"/>
        </w:rPr>
        <w:t xml:space="preserve">complete absence of serum acetones, which did not occur until day 15. </w:t>
      </w:r>
      <w:r w:rsidR="009F2303" w:rsidRPr="00403D9E">
        <w:rPr>
          <w:sz w:val="20"/>
          <w:szCs w:val="20"/>
        </w:rPr>
        <w:t>T</w:t>
      </w:r>
      <w:r w:rsidR="00211916" w:rsidRPr="00403D9E">
        <w:rPr>
          <w:sz w:val="20"/>
          <w:szCs w:val="20"/>
        </w:rPr>
        <w:t xml:space="preserve">he patient </w:t>
      </w:r>
      <w:proofErr w:type="gramStart"/>
      <w:r w:rsidR="00211916" w:rsidRPr="00403D9E">
        <w:rPr>
          <w:sz w:val="20"/>
          <w:szCs w:val="20"/>
        </w:rPr>
        <w:t xml:space="preserve">was </w:t>
      </w:r>
      <w:r w:rsidR="009F2303" w:rsidRPr="00403D9E">
        <w:rPr>
          <w:sz w:val="20"/>
          <w:szCs w:val="20"/>
        </w:rPr>
        <w:t xml:space="preserve">then </w:t>
      </w:r>
      <w:r w:rsidR="00211916" w:rsidRPr="00403D9E">
        <w:rPr>
          <w:sz w:val="20"/>
          <w:szCs w:val="20"/>
        </w:rPr>
        <w:t xml:space="preserve">successfully converted to subcutaneous </w:t>
      </w:r>
      <w:r w:rsidR="00F6456F" w:rsidRPr="00403D9E">
        <w:rPr>
          <w:sz w:val="20"/>
          <w:szCs w:val="20"/>
        </w:rPr>
        <w:t>glargine and lispro,</w:t>
      </w:r>
      <w:r w:rsidR="00211916" w:rsidRPr="00403D9E">
        <w:rPr>
          <w:sz w:val="20"/>
          <w:szCs w:val="20"/>
        </w:rPr>
        <w:t xml:space="preserve"> and transferred from the ICU</w:t>
      </w:r>
      <w:proofErr w:type="gramEnd"/>
      <w:r w:rsidR="00211916" w:rsidRPr="00403D9E">
        <w:rPr>
          <w:sz w:val="20"/>
          <w:szCs w:val="20"/>
        </w:rPr>
        <w:t xml:space="preserve">. </w:t>
      </w:r>
      <w:r w:rsidR="005825A2" w:rsidRPr="00403D9E">
        <w:rPr>
          <w:sz w:val="20"/>
          <w:szCs w:val="20"/>
        </w:rPr>
        <w:t>Twenty-one</w:t>
      </w:r>
      <w:r w:rsidR="00211916" w:rsidRPr="00403D9E">
        <w:rPr>
          <w:sz w:val="20"/>
          <w:szCs w:val="20"/>
        </w:rPr>
        <w:t xml:space="preserve"> days after initial admission, the patient’s cognition had </w:t>
      </w:r>
      <w:r w:rsidR="00FE28C7" w:rsidRPr="00403D9E">
        <w:rPr>
          <w:sz w:val="20"/>
          <w:szCs w:val="20"/>
        </w:rPr>
        <w:t>normalized</w:t>
      </w:r>
      <w:r w:rsidR="00876A16" w:rsidRPr="00403D9E">
        <w:rPr>
          <w:sz w:val="20"/>
          <w:szCs w:val="20"/>
        </w:rPr>
        <w:t xml:space="preserve"> and he </w:t>
      </w:r>
      <w:proofErr w:type="gramStart"/>
      <w:r w:rsidR="00876A16" w:rsidRPr="00403D9E">
        <w:rPr>
          <w:sz w:val="20"/>
          <w:szCs w:val="20"/>
        </w:rPr>
        <w:t>was discharged</w:t>
      </w:r>
      <w:proofErr w:type="gramEnd"/>
      <w:r w:rsidR="00876A16" w:rsidRPr="00403D9E">
        <w:rPr>
          <w:sz w:val="20"/>
          <w:szCs w:val="20"/>
        </w:rPr>
        <w:t>.</w:t>
      </w:r>
    </w:p>
    <w:p w14:paraId="6F799F9E" w14:textId="27ED72A0" w:rsidR="00D52DEE" w:rsidRPr="00403D9E" w:rsidRDefault="00D52DEE" w:rsidP="00403D9E">
      <w:pPr>
        <w:contextualSpacing/>
        <w:mirrorIndents/>
        <w:jc w:val="both"/>
        <w:rPr>
          <w:sz w:val="20"/>
          <w:szCs w:val="20"/>
        </w:rPr>
      </w:pPr>
    </w:p>
    <w:p w14:paraId="5B533246" w14:textId="03FD28D8" w:rsidR="00D52DEE" w:rsidRPr="00403D9E" w:rsidRDefault="00E86E0F" w:rsidP="00551424">
      <w:pPr>
        <w:contextualSpacing/>
        <w:mirrorIndents/>
        <w:jc w:val="center"/>
        <w:rPr>
          <w:sz w:val="20"/>
          <w:szCs w:val="20"/>
        </w:rPr>
      </w:pPr>
      <w:r w:rsidRPr="00403D9E">
        <w:rPr>
          <w:noProof/>
          <w:sz w:val="20"/>
          <w:szCs w:val="20"/>
        </w:rPr>
        <w:lastRenderedPageBreak/>
        <w:drawing>
          <wp:inline distT="0" distB="0" distL="0" distR="0" wp14:anchorId="461A96CF" wp14:editId="088A8C40">
            <wp:extent cx="3919163" cy="2122998"/>
            <wp:effectExtent l="0" t="0" r="5715" b="0"/>
            <wp:docPr id="8" name="Picture 8" descr="C:\Users\DELL\Downloads\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ownloads\Fig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7733" cy="2127640"/>
                    </a:xfrm>
                    <a:prstGeom prst="rect">
                      <a:avLst/>
                    </a:prstGeom>
                    <a:noFill/>
                    <a:ln>
                      <a:noFill/>
                    </a:ln>
                  </pic:spPr>
                </pic:pic>
              </a:graphicData>
            </a:graphic>
          </wp:inline>
        </w:drawing>
      </w:r>
    </w:p>
    <w:p w14:paraId="5A5007DD" w14:textId="77777777" w:rsidR="00D52DEE" w:rsidRPr="00403D9E" w:rsidRDefault="00D52DEE" w:rsidP="00403D9E">
      <w:pPr>
        <w:contextualSpacing/>
        <w:mirrorIndents/>
        <w:jc w:val="both"/>
        <w:rPr>
          <w:sz w:val="20"/>
          <w:szCs w:val="20"/>
        </w:rPr>
      </w:pPr>
    </w:p>
    <w:p w14:paraId="2A63A52C" w14:textId="77777777" w:rsidR="00876A16" w:rsidRPr="00403D9E" w:rsidRDefault="00876A16" w:rsidP="00403D9E">
      <w:pPr>
        <w:contextualSpacing/>
        <w:mirrorIndents/>
        <w:jc w:val="both"/>
        <w:rPr>
          <w:sz w:val="20"/>
          <w:szCs w:val="20"/>
        </w:rPr>
      </w:pPr>
      <w:r w:rsidRPr="00403D9E">
        <w:rPr>
          <w:b/>
          <w:sz w:val="20"/>
          <w:szCs w:val="20"/>
        </w:rPr>
        <w:t>Figure 2:</w:t>
      </w:r>
      <w:r w:rsidRPr="00403D9E">
        <w:rPr>
          <w:sz w:val="20"/>
          <w:szCs w:val="20"/>
        </w:rPr>
        <w:t xml:space="preserve"> Total daily units of insulin for case 2. Intravenous insulin </w:t>
      </w:r>
      <w:proofErr w:type="gramStart"/>
      <w:r w:rsidRPr="00403D9E">
        <w:rPr>
          <w:sz w:val="20"/>
          <w:szCs w:val="20"/>
        </w:rPr>
        <w:t>is represented</w:t>
      </w:r>
      <w:proofErr w:type="gramEnd"/>
      <w:r w:rsidRPr="00403D9E">
        <w:rPr>
          <w:sz w:val="20"/>
          <w:szCs w:val="20"/>
        </w:rPr>
        <w:t xml:space="preserve"> in blue, glargine in orange, and lispro in gray. On day 8, intravenous insulin </w:t>
      </w:r>
      <w:proofErr w:type="gramStart"/>
      <w:r w:rsidRPr="00403D9E">
        <w:rPr>
          <w:sz w:val="20"/>
          <w:szCs w:val="20"/>
        </w:rPr>
        <w:t>was reinitiated</w:t>
      </w:r>
      <w:proofErr w:type="gramEnd"/>
      <w:r w:rsidRPr="00403D9E">
        <w:rPr>
          <w:sz w:val="20"/>
          <w:szCs w:val="20"/>
        </w:rPr>
        <w:t xml:space="preserve"> following administration of insulin glargine due to recurrence of DKA. During hospital days 13-16, subcutaneous insulin </w:t>
      </w:r>
      <w:proofErr w:type="gramStart"/>
      <w:r w:rsidRPr="00403D9E">
        <w:rPr>
          <w:sz w:val="20"/>
          <w:szCs w:val="20"/>
        </w:rPr>
        <w:t>was administered</w:t>
      </w:r>
      <w:proofErr w:type="gramEnd"/>
      <w:r w:rsidRPr="00403D9E">
        <w:rPr>
          <w:sz w:val="20"/>
          <w:szCs w:val="20"/>
        </w:rPr>
        <w:t xml:space="preserve"> in combination with intravenous insulin to help wean the insulin infusion. </w:t>
      </w:r>
    </w:p>
    <w:p w14:paraId="79CC36EA" w14:textId="77777777" w:rsidR="00876A16" w:rsidRPr="00403D9E" w:rsidRDefault="00876A16" w:rsidP="00403D9E">
      <w:pPr>
        <w:contextualSpacing/>
        <w:mirrorIndents/>
        <w:jc w:val="both"/>
        <w:rPr>
          <w:sz w:val="20"/>
          <w:szCs w:val="20"/>
        </w:rPr>
      </w:pPr>
    </w:p>
    <w:p w14:paraId="281E401E" w14:textId="16A2AF4C" w:rsidR="00211916" w:rsidRPr="00714365" w:rsidRDefault="00211916" w:rsidP="00403D9E">
      <w:pPr>
        <w:contextualSpacing/>
        <w:mirrorIndents/>
        <w:jc w:val="both"/>
        <w:rPr>
          <w:b/>
          <w:sz w:val="22"/>
          <w:szCs w:val="22"/>
        </w:rPr>
      </w:pPr>
      <w:r w:rsidRPr="00714365">
        <w:rPr>
          <w:b/>
          <w:sz w:val="22"/>
          <w:szCs w:val="22"/>
        </w:rPr>
        <w:t>Discussion</w:t>
      </w:r>
    </w:p>
    <w:p w14:paraId="7A2BA43D" w14:textId="77777777" w:rsidR="007C15BF" w:rsidRPr="00403D9E" w:rsidRDefault="007C15BF" w:rsidP="00403D9E">
      <w:pPr>
        <w:contextualSpacing/>
        <w:mirrorIndents/>
        <w:jc w:val="both"/>
        <w:rPr>
          <w:sz w:val="20"/>
          <w:szCs w:val="20"/>
        </w:rPr>
      </w:pPr>
    </w:p>
    <w:p w14:paraId="39A512AD" w14:textId="15331097" w:rsidR="007C15BF" w:rsidRPr="00403D9E" w:rsidRDefault="007E2919" w:rsidP="00403D9E">
      <w:pPr>
        <w:contextualSpacing/>
        <w:mirrorIndents/>
        <w:jc w:val="both"/>
        <w:rPr>
          <w:sz w:val="20"/>
          <w:szCs w:val="20"/>
        </w:rPr>
      </w:pPr>
      <w:r w:rsidRPr="00403D9E">
        <w:rPr>
          <w:sz w:val="20"/>
          <w:szCs w:val="20"/>
        </w:rPr>
        <w:t>Sodium-Glucose C</w:t>
      </w:r>
      <w:r w:rsidR="005A0E26" w:rsidRPr="00403D9E">
        <w:rPr>
          <w:sz w:val="20"/>
          <w:szCs w:val="20"/>
        </w:rPr>
        <w:t xml:space="preserve">otransporter-2 (SGLT-2) inhibitors serve as an important adjunct in the </w:t>
      </w:r>
      <w:r w:rsidR="00FE28C7" w:rsidRPr="00403D9E">
        <w:rPr>
          <w:sz w:val="20"/>
          <w:szCs w:val="20"/>
        </w:rPr>
        <w:t>treatment</w:t>
      </w:r>
      <w:r w:rsidR="005A0E26" w:rsidRPr="00403D9E">
        <w:rPr>
          <w:sz w:val="20"/>
          <w:szCs w:val="20"/>
        </w:rPr>
        <w:t xml:space="preserve"> of type </w:t>
      </w:r>
      <w:proofErr w:type="gramStart"/>
      <w:r w:rsidR="005A0E26" w:rsidRPr="00403D9E">
        <w:rPr>
          <w:sz w:val="20"/>
          <w:szCs w:val="20"/>
        </w:rPr>
        <w:t>2</w:t>
      </w:r>
      <w:proofErr w:type="gramEnd"/>
      <w:r w:rsidR="005A0E26" w:rsidRPr="00403D9E">
        <w:rPr>
          <w:sz w:val="20"/>
          <w:szCs w:val="20"/>
        </w:rPr>
        <w:t xml:space="preserve"> diabetes mellitus. </w:t>
      </w:r>
      <w:r w:rsidR="00996511" w:rsidRPr="00403D9E">
        <w:rPr>
          <w:sz w:val="20"/>
          <w:szCs w:val="20"/>
        </w:rPr>
        <w:t xml:space="preserve">In addition to their role in the management of diabetes mellitus, recent data have shown that SGLT-2 inhibitors can reduce progression of nephropathy as well as improve cardiovascular outcomes in patients with heart failure regardless of ejection fraction </w:t>
      </w:r>
      <w:r w:rsidR="00B33698" w:rsidRPr="00403D9E">
        <w:rPr>
          <w:color w:val="FF0000"/>
          <w:sz w:val="20"/>
          <w:szCs w:val="20"/>
        </w:rPr>
        <w:t>[2-4]</w:t>
      </w:r>
      <w:r w:rsidR="00996511" w:rsidRPr="00403D9E">
        <w:rPr>
          <w:sz w:val="20"/>
          <w:szCs w:val="20"/>
        </w:rPr>
        <w:t xml:space="preserve">. </w:t>
      </w:r>
      <w:r w:rsidR="00813227" w:rsidRPr="00403D9E">
        <w:rPr>
          <w:sz w:val="20"/>
          <w:szCs w:val="20"/>
        </w:rPr>
        <w:t>Adverse effects associated with sodium-glucose cotransporter-2 (SGLT-2) inhibitors include the propensity to develop euglycemic DKA</w:t>
      </w:r>
      <w:r w:rsidR="00FE28C7" w:rsidRPr="00403D9E">
        <w:rPr>
          <w:sz w:val="20"/>
          <w:szCs w:val="20"/>
        </w:rPr>
        <w:t xml:space="preserve">, </w:t>
      </w:r>
      <w:r w:rsidR="00813227" w:rsidRPr="00403D9E">
        <w:rPr>
          <w:sz w:val="20"/>
          <w:szCs w:val="20"/>
        </w:rPr>
        <w:t>drug induced pancreatitis</w:t>
      </w:r>
      <w:r w:rsidR="00FE28C7" w:rsidRPr="00403D9E">
        <w:rPr>
          <w:sz w:val="20"/>
          <w:szCs w:val="20"/>
        </w:rPr>
        <w:t>, and</w:t>
      </w:r>
      <w:r w:rsidR="00F86000" w:rsidRPr="00403D9E">
        <w:rPr>
          <w:sz w:val="20"/>
          <w:szCs w:val="20"/>
        </w:rPr>
        <w:t xml:space="preserve"> </w:t>
      </w:r>
      <w:r w:rsidR="00813227" w:rsidRPr="00403D9E">
        <w:rPr>
          <w:sz w:val="20"/>
          <w:szCs w:val="20"/>
        </w:rPr>
        <w:t>prolonged courses of DKA</w:t>
      </w:r>
      <w:r w:rsidR="00F86000" w:rsidRPr="00403D9E">
        <w:rPr>
          <w:sz w:val="20"/>
          <w:szCs w:val="20"/>
        </w:rPr>
        <w:t>.</w:t>
      </w:r>
    </w:p>
    <w:p w14:paraId="63103E2E" w14:textId="77777777" w:rsidR="00821204" w:rsidRPr="00403D9E" w:rsidRDefault="00821204" w:rsidP="00403D9E">
      <w:pPr>
        <w:contextualSpacing/>
        <w:mirrorIndents/>
        <w:jc w:val="both"/>
        <w:rPr>
          <w:sz w:val="20"/>
          <w:szCs w:val="20"/>
        </w:rPr>
      </w:pPr>
    </w:p>
    <w:p w14:paraId="431B364F" w14:textId="1E4BBAEE" w:rsidR="00996511" w:rsidRPr="00403D9E" w:rsidRDefault="00211916" w:rsidP="00403D9E">
      <w:pPr>
        <w:contextualSpacing/>
        <w:mirrorIndents/>
        <w:jc w:val="both"/>
        <w:rPr>
          <w:sz w:val="20"/>
          <w:szCs w:val="20"/>
        </w:rPr>
      </w:pPr>
      <w:r w:rsidRPr="00403D9E">
        <w:rPr>
          <w:sz w:val="20"/>
          <w:szCs w:val="20"/>
        </w:rPr>
        <w:t xml:space="preserve">Euglycemic DKA in the setting of SGLT-2 inhibitors is a </w:t>
      </w:r>
      <w:proofErr w:type="gramStart"/>
      <w:r w:rsidRPr="00403D9E">
        <w:rPr>
          <w:sz w:val="20"/>
          <w:szCs w:val="20"/>
        </w:rPr>
        <w:t>well described</w:t>
      </w:r>
      <w:proofErr w:type="gramEnd"/>
      <w:r w:rsidRPr="00403D9E">
        <w:rPr>
          <w:sz w:val="20"/>
          <w:szCs w:val="20"/>
        </w:rPr>
        <w:t xml:space="preserve"> phenomenon. The </w:t>
      </w:r>
      <w:r w:rsidR="009F2303" w:rsidRPr="00403D9E">
        <w:rPr>
          <w:sz w:val="20"/>
          <w:szCs w:val="20"/>
        </w:rPr>
        <w:t>US</w:t>
      </w:r>
      <w:r w:rsidR="000C37DF" w:rsidRPr="00403D9E">
        <w:rPr>
          <w:sz w:val="20"/>
          <w:szCs w:val="20"/>
        </w:rPr>
        <w:t xml:space="preserve"> </w:t>
      </w:r>
      <w:r w:rsidRPr="00403D9E">
        <w:rPr>
          <w:sz w:val="20"/>
          <w:szCs w:val="20"/>
        </w:rPr>
        <w:t>FDA</w:t>
      </w:r>
      <w:r w:rsidR="00126C0E" w:rsidRPr="00403D9E">
        <w:rPr>
          <w:sz w:val="20"/>
          <w:szCs w:val="20"/>
        </w:rPr>
        <w:t xml:space="preserve"> </w:t>
      </w:r>
      <w:r w:rsidRPr="00403D9E">
        <w:rPr>
          <w:sz w:val="20"/>
          <w:szCs w:val="20"/>
        </w:rPr>
        <w:t xml:space="preserve">released a warning regarding SGLT-2 </w:t>
      </w:r>
      <w:r w:rsidR="00501AA2" w:rsidRPr="00403D9E">
        <w:rPr>
          <w:sz w:val="20"/>
          <w:szCs w:val="20"/>
        </w:rPr>
        <w:t>induced DKA</w:t>
      </w:r>
      <w:r w:rsidRPr="00403D9E">
        <w:rPr>
          <w:sz w:val="20"/>
          <w:szCs w:val="20"/>
        </w:rPr>
        <w:t xml:space="preserve"> in 2015. </w:t>
      </w:r>
      <w:r w:rsidR="00A4493D" w:rsidRPr="00403D9E">
        <w:rPr>
          <w:sz w:val="20"/>
          <w:szCs w:val="20"/>
        </w:rPr>
        <w:t xml:space="preserve">SGLT-2 inhibitors </w:t>
      </w:r>
      <w:r w:rsidRPr="00403D9E">
        <w:rPr>
          <w:sz w:val="20"/>
          <w:szCs w:val="20"/>
        </w:rPr>
        <w:t xml:space="preserve">competitively inhibit the sodium-glucose transport protein 2 in the proximal tubules of </w:t>
      </w:r>
      <w:proofErr w:type="gramStart"/>
      <w:r w:rsidRPr="00403D9E">
        <w:rPr>
          <w:sz w:val="20"/>
          <w:szCs w:val="20"/>
        </w:rPr>
        <w:t>nephron</w:t>
      </w:r>
      <w:r w:rsidR="00501AA2" w:rsidRPr="00403D9E">
        <w:rPr>
          <w:sz w:val="20"/>
          <w:szCs w:val="20"/>
        </w:rPr>
        <w:t>s</w:t>
      </w:r>
      <w:r w:rsidRPr="00403D9E">
        <w:rPr>
          <w:sz w:val="20"/>
          <w:szCs w:val="20"/>
        </w:rPr>
        <w:t xml:space="preserve"> </w:t>
      </w:r>
      <w:r w:rsidR="00501AA2" w:rsidRPr="00403D9E">
        <w:rPr>
          <w:sz w:val="20"/>
          <w:szCs w:val="20"/>
        </w:rPr>
        <w:t>which</w:t>
      </w:r>
      <w:proofErr w:type="gramEnd"/>
      <w:r w:rsidRPr="00403D9E">
        <w:rPr>
          <w:sz w:val="20"/>
          <w:szCs w:val="20"/>
        </w:rPr>
        <w:t xml:space="preserve"> prevent</w:t>
      </w:r>
      <w:r w:rsidR="00501AA2" w:rsidRPr="00403D9E">
        <w:rPr>
          <w:sz w:val="20"/>
          <w:szCs w:val="20"/>
        </w:rPr>
        <w:t xml:space="preserve">s </w:t>
      </w:r>
      <w:r w:rsidR="009F2303" w:rsidRPr="00403D9E">
        <w:rPr>
          <w:sz w:val="20"/>
          <w:szCs w:val="20"/>
        </w:rPr>
        <w:t>glucose re</w:t>
      </w:r>
      <w:r w:rsidRPr="00403D9E">
        <w:rPr>
          <w:sz w:val="20"/>
          <w:szCs w:val="20"/>
        </w:rPr>
        <w:t>sorption</w:t>
      </w:r>
      <w:r w:rsidR="00501AA2" w:rsidRPr="00403D9E">
        <w:rPr>
          <w:sz w:val="20"/>
          <w:szCs w:val="20"/>
        </w:rPr>
        <w:t>. This</w:t>
      </w:r>
      <w:r w:rsidR="00126C0E" w:rsidRPr="00403D9E">
        <w:rPr>
          <w:sz w:val="20"/>
          <w:szCs w:val="20"/>
        </w:rPr>
        <w:t xml:space="preserve"> </w:t>
      </w:r>
      <w:r w:rsidR="00501AA2" w:rsidRPr="00403D9E">
        <w:rPr>
          <w:sz w:val="20"/>
          <w:szCs w:val="20"/>
        </w:rPr>
        <w:t>promotes</w:t>
      </w:r>
      <w:r w:rsidR="00126C0E" w:rsidRPr="00403D9E">
        <w:rPr>
          <w:sz w:val="20"/>
          <w:szCs w:val="20"/>
        </w:rPr>
        <w:t xml:space="preserve"> glucosuria an</w:t>
      </w:r>
      <w:r w:rsidR="0027761C" w:rsidRPr="00403D9E">
        <w:rPr>
          <w:sz w:val="20"/>
          <w:szCs w:val="20"/>
        </w:rPr>
        <w:t>d improves glucose homeostasis</w:t>
      </w:r>
      <w:r w:rsidR="000C3B04" w:rsidRPr="00403D9E">
        <w:rPr>
          <w:sz w:val="20"/>
          <w:szCs w:val="20"/>
          <w:vertAlign w:val="superscript"/>
        </w:rPr>
        <w:t>5</w:t>
      </w:r>
      <w:r w:rsidRPr="00403D9E">
        <w:rPr>
          <w:sz w:val="20"/>
          <w:szCs w:val="20"/>
        </w:rPr>
        <w:t xml:space="preserve">. </w:t>
      </w:r>
      <w:r w:rsidR="00A4493D" w:rsidRPr="00403D9E">
        <w:rPr>
          <w:sz w:val="20"/>
          <w:szCs w:val="20"/>
        </w:rPr>
        <w:t xml:space="preserve">The </w:t>
      </w:r>
      <w:r w:rsidR="0027761C" w:rsidRPr="00403D9E">
        <w:rPr>
          <w:sz w:val="20"/>
          <w:szCs w:val="20"/>
        </w:rPr>
        <w:t>pathophysiology</w:t>
      </w:r>
      <w:r w:rsidR="00A4493D" w:rsidRPr="00403D9E">
        <w:rPr>
          <w:sz w:val="20"/>
          <w:szCs w:val="20"/>
        </w:rPr>
        <w:t xml:space="preserve"> </w:t>
      </w:r>
      <w:r w:rsidR="0027761C" w:rsidRPr="00403D9E">
        <w:rPr>
          <w:sz w:val="20"/>
          <w:szCs w:val="20"/>
        </w:rPr>
        <w:t>of</w:t>
      </w:r>
      <w:r w:rsidR="00A4493D" w:rsidRPr="00403D9E">
        <w:rPr>
          <w:sz w:val="20"/>
          <w:szCs w:val="20"/>
        </w:rPr>
        <w:t xml:space="preserve"> euglycemic DKA is </w:t>
      </w:r>
      <w:r w:rsidR="0027761C" w:rsidRPr="00403D9E">
        <w:rPr>
          <w:sz w:val="20"/>
          <w:szCs w:val="20"/>
        </w:rPr>
        <w:t>from</w:t>
      </w:r>
      <w:r w:rsidR="00A4493D" w:rsidRPr="00403D9E">
        <w:rPr>
          <w:sz w:val="20"/>
          <w:szCs w:val="20"/>
        </w:rPr>
        <w:t xml:space="preserve"> insulinopenia in the setting of relatively low serum glucose levels, </w:t>
      </w:r>
      <w:r w:rsidR="0027761C" w:rsidRPr="00403D9E">
        <w:rPr>
          <w:sz w:val="20"/>
          <w:szCs w:val="20"/>
        </w:rPr>
        <w:t>which leads</w:t>
      </w:r>
      <w:r w:rsidR="00A4493D" w:rsidRPr="00403D9E">
        <w:rPr>
          <w:sz w:val="20"/>
          <w:szCs w:val="20"/>
        </w:rPr>
        <w:t xml:space="preserve"> to lipolysis and </w:t>
      </w:r>
      <w:r w:rsidR="0027761C" w:rsidRPr="00403D9E">
        <w:rPr>
          <w:sz w:val="20"/>
          <w:szCs w:val="20"/>
        </w:rPr>
        <w:t xml:space="preserve">the </w:t>
      </w:r>
      <w:r w:rsidR="00A4493D" w:rsidRPr="00403D9E">
        <w:rPr>
          <w:sz w:val="20"/>
          <w:szCs w:val="20"/>
        </w:rPr>
        <w:t>production of ketones</w:t>
      </w:r>
      <w:r w:rsidR="00071C9D" w:rsidRPr="00403D9E">
        <w:rPr>
          <w:sz w:val="20"/>
          <w:szCs w:val="20"/>
        </w:rPr>
        <w:t xml:space="preserve"> </w:t>
      </w:r>
      <w:r w:rsidR="00071C9D" w:rsidRPr="00403D9E">
        <w:rPr>
          <w:color w:val="FF0000"/>
          <w:sz w:val="20"/>
          <w:szCs w:val="20"/>
        </w:rPr>
        <w:t>[6]</w:t>
      </w:r>
      <w:r w:rsidRPr="00403D9E">
        <w:rPr>
          <w:sz w:val="20"/>
          <w:szCs w:val="20"/>
        </w:rPr>
        <w:t>.</w:t>
      </w:r>
      <w:r w:rsidR="0027761C" w:rsidRPr="00403D9E">
        <w:rPr>
          <w:sz w:val="20"/>
          <w:szCs w:val="20"/>
        </w:rPr>
        <w:t xml:space="preserve"> P</w:t>
      </w:r>
      <w:r w:rsidRPr="00403D9E">
        <w:rPr>
          <w:sz w:val="20"/>
          <w:szCs w:val="20"/>
        </w:rPr>
        <w:t>atients</w:t>
      </w:r>
      <w:r w:rsidR="0027761C" w:rsidRPr="00403D9E">
        <w:rPr>
          <w:sz w:val="20"/>
          <w:szCs w:val="20"/>
        </w:rPr>
        <w:t xml:space="preserve"> typically</w:t>
      </w:r>
      <w:r w:rsidRPr="00403D9E">
        <w:rPr>
          <w:sz w:val="20"/>
          <w:szCs w:val="20"/>
        </w:rPr>
        <w:t xml:space="preserve"> present with ketosis, serum glucose levels less than 250 mg/dL, and glucosuria</w:t>
      </w:r>
      <w:r w:rsidR="008E74D3" w:rsidRPr="00403D9E">
        <w:rPr>
          <w:sz w:val="20"/>
          <w:szCs w:val="20"/>
        </w:rPr>
        <w:t xml:space="preserve"> </w:t>
      </w:r>
      <w:r w:rsidR="008E74D3" w:rsidRPr="00403D9E">
        <w:rPr>
          <w:color w:val="FF0000"/>
          <w:sz w:val="20"/>
          <w:szCs w:val="20"/>
        </w:rPr>
        <w:t>[7</w:t>
      </w:r>
      <w:proofErr w:type="gramStart"/>
      <w:r w:rsidR="008E74D3" w:rsidRPr="00403D9E">
        <w:rPr>
          <w:color w:val="FF0000"/>
          <w:sz w:val="20"/>
          <w:szCs w:val="20"/>
        </w:rPr>
        <w:t>,8</w:t>
      </w:r>
      <w:proofErr w:type="gramEnd"/>
      <w:r w:rsidR="008E74D3" w:rsidRPr="00403D9E">
        <w:rPr>
          <w:color w:val="FF0000"/>
          <w:sz w:val="20"/>
          <w:szCs w:val="20"/>
        </w:rPr>
        <w:t>]</w:t>
      </w:r>
      <w:r w:rsidRPr="00403D9E">
        <w:rPr>
          <w:sz w:val="20"/>
          <w:szCs w:val="20"/>
        </w:rPr>
        <w:t xml:space="preserve">. </w:t>
      </w:r>
    </w:p>
    <w:p w14:paraId="482A45BF" w14:textId="77777777" w:rsidR="007C15BF" w:rsidRPr="00403D9E" w:rsidRDefault="007C15BF" w:rsidP="00403D9E">
      <w:pPr>
        <w:contextualSpacing/>
        <w:mirrorIndents/>
        <w:jc w:val="both"/>
        <w:rPr>
          <w:sz w:val="20"/>
          <w:szCs w:val="20"/>
        </w:rPr>
      </w:pPr>
    </w:p>
    <w:p w14:paraId="6504EEAE" w14:textId="18C29A90" w:rsidR="00211916" w:rsidRPr="00403D9E" w:rsidRDefault="00211916" w:rsidP="00403D9E">
      <w:pPr>
        <w:contextualSpacing/>
        <w:mirrorIndents/>
        <w:jc w:val="both"/>
        <w:rPr>
          <w:sz w:val="20"/>
          <w:szCs w:val="20"/>
        </w:rPr>
      </w:pPr>
      <w:r w:rsidRPr="00403D9E">
        <w:rPr>
          <w:sz w:val="20"/>
          <w:szCs w:val="20"/>
        </w:rPr>
        <w:t xml:space="preserve">In </w:t>
      </w:r>
      <w:r w:rsidR="0027761C" w:rsidRPr="00403D9E">
        <w:rPr>
          <w:sz w:val="20"/>
          <w:szCs w:val="20"/>
        </w:rPr>
        <w:t>contrast</w:t>
      </w:r>
      <w:r w:rsidRPr="00403D9E">
        <w:rPr>
          <w:sz w:val="20"/>
          <w:szCs w:val="20"/>
        </w:rPr>
        <w:t xml:space="preserve"> to euglycemic DKA associated with SGLT-2 inhibitors, </w:t>
      </w:r>
      <w:r w:rsidR="00126C0E" w:rsidRPr="00403D9E">
        <w:rPr>
          <w:sz w:val="20"/>
          <w:szCs w:val="20"/>
        </w:rPr>
        <w:t>both</w:t>
      </w:r>
      <w:r w:rsidRPr="00403D9E">
        <w:rPr>
          <w:sz w:val="20"/>
          <w:szCs w:val="20"/>
        </w:rPr>
        <w:t xml:space="preserve"> </w:t>
      </w:r>
      <w:r w:rsidR="0027761C" w:rsidRPr="00403D9E">
        <w:rPr>
          <w:sz w:val="20"/>
          <w:szCs w:val="20"/>
        </w:rPr>
        <w:t xml:space="preserve">of our </w:t>
      </w:r>
      <w:r w:rsidRPr="00403D9E">
        <w:rPr>
          <w:sz w:val="20"/>
          <w:szCs w:val="20"/>
        </w:rPr>
        <w:t xml:space="preserve">patients </w:t>
      </w:r>
      <w:r w:rsidR="00F86000" w:rsidRPr="00403D9E">
        <w:rPr>
          <w:sz w:val="20"/>
          <w:szCs w:val="20"/>
        </w:rPr>
        <w:t>were hyperglycemic</w:t>
      </w:r>
      <w:r w:rsidR="007517E9" w:rsidRPr="00403D9E">
        <w:rPr>
          <w:sz w:val="20"/>
          <w:szCs w:val="20"/>
        </w:rPr>
        <w:t xml:space="preserve"> with a serum glucose level greater than 1,000 </w:t>
      </w:r>
      <w:r w:rsidR="007517E9" w:rsidRPr="00403D9E">
        <w:rPr>
          <w:color w:val="212121"/>
          <w:sz w:val="20"/>
          <w:szCs w:val="20"/>
        </w:rPr>
        <w:t>mg/dL.</w:t>
      </w:r>
      <w:r w:rsidR="007517E9" w:rsidRPr="00403D9E">
        <w:rPr>
          <w:color w:val="FF0000"/>
          <w:sz w:val="20"/>
          <w:szCs w:val="20"/>
        </w:rPr>
        <w:t xml:space="preserve"> </w:t>
      </w:r>
      <w:r w:rsidRPr="00403D9E">
        <w:rPr>
          <w:sz w:val="20"/>
          <w:szCs w:val="20"/>
        </w:rPr>
        <w:t>We suspect this may have been multifactorial</w:t>
      </w:r>
      <w:r w:rsidR="0027761C" w:rsidRPr="00403D9E">
        <w:rPr>
          <w:sz w:val="20"/>
          <w:szCs w:val="20"/>
        </w:rPr>
        <w:t xml:space="preserve"> as they </w:t>
      </w:r>
      <w:proofErr w:type="gramStart"/>
      <w:r w:rsidR="0027761C" w:rsidRPr="00403D9E">
        <w:rPr>
          <w:sz w:val="20"/>
          <w:szCs w:val="20"/>
        </w:rPr>
        <w:t>were both prescribed</w:t>
      </w:r>
      <w:proofErr w:type="gramEnd"/>
      <w:r w:rsidR="0027761C" w:rsidRPr="00403D9E">
        <w:rPr>
          <w:sz w:val="20"/>
          <w:szCs w:val="20"/>
        </w:rPr>
        <w:t xml:space="preserve"> </w:t>
      </w:r>
      <w:r w:rsidRPr="00403D9E">
        <w:rPr>
          <w:sz w:val="20"/>
          <w:szCs w:val="20"/>
        </w:rPr>
        <w:t>other hypoglycemic</w:t>
      </w:r>
      <w:r w:rsidR="00FE28C7" w:rsidRPr="00403D9E">
        <w:rPr>
          <w:sz w:val="20"/>
          <w:szCs w:val="20"/>
        </w:rPr>
        <w:t xml:space="preserve"> agents</w:t>
      </w:r>
      <w:r w:rsidRPr="00403D9E">
        <w:rPr>
          <w:sz w:val="20"/>
          <w:szCs w:val="20"/>
        </w:rPr>
        <w:t xml:space="preserve"> </w:t>
      </w:r>
      <w:r w:rsidR="009B30D9" w:rsidRPr="00403D9E">
        <w:rPr>
          <w:sz w:val="20"/>
          <w:szCs w:val="20"/>
        </w:rPr>
        <w:t>in</w:t>
      </w:r>
      <w:r w:rsidRPr="00403D9E">
        <w:rPr>
          <w:sz w:val="20"/>
          <w:szCs w:val="20"/>
        </w:rPr>
        <w:t xml:space="preserve"> addition to SGLT-2 inhibitors</w:t>
      </w:r>
      <w:r w:rsidR="0027761C" w:rsidRPr="00403D9E">
        <w:rPr>
          <w:sz w:val="20"/>
          <w:szCs w:val="20"/>
        </w:rPr>
        <w:t xml:space="preserve">. The combination of medications may have </w:t>
      </w:r>
      <w:r w:rsidRPr="00403D9E">
        <w:rPr>
          <w:sz w:val="20"/>
          <w:szCs w:val="20"/>
        </w:rPr>
        <w:t>confounded their initial blood glucose level on presentation.</w:t>
      </w:r>
      <w:r w:rsidR="00FE28C7" w:rsidRPr="00403D9E">
        <w:rPr>
          <w:sz w:val="20"/>
          <w:szCs w:val="20"/>
        </w:rPr>
        <w:t xml:space="preserve"> P</w:t>
      </w:r>
      <w:r w:rsidR="009F2303" w:rsidRPr="00403D9E">
        <w:rPr>
          <w:sz w:val="20"/>
          <w:szCs w:val="20"/>
        </w:rPr>
        <w:t>ancreatitis was</w:t>
      </w:r>
      <w:r w:rsidR="00FE28C7" w:rsidRPr="00403D9E">
        <w:rPr>
          <w:sz w:val="20"/>
          <w:szCs w:val="20"/>
        </w:rPr>
        <w:t xml:space="preserve"> also</w:t>
      </w:r>
      <w:r w:rsidR="009F2303" w:rsidRPr="00403D9E">
        <w:rPr>
          <w:sz w:val="20"/>
          <w:szCs w:val="20"/>
        </w:rPr>
        <w:t xml:space="preserve"> present</w:t>
      </w:r>
      <w:r w:rsidR="00813227" w:rsidRPr="00403D9E">
        <w:rPr>
          <w:sz w:val="20"/>
          <w:szCs w:val="20"/>
        </w:rPr>
        <w:t xml:space="preserve"> in both </w:t>
      </w:r>
      <w:proofErr w:type="gramStart"/>
      <w:r w:rsidR="00813227" w:rsidRPr="00403D9E">
        <w:rPr>
          <w:sz w:val="20"/>
          <w:szCs w:val="20"/>
        </w:rPr>
        <w:t>patients</w:t>
      </w:r>
      <w:r w:rsidR="009F2303" w:rsidRPr="00403D9E">
        <w:rPr>
          <w:sz w:val="20"/>
          <w:szCs w:val="20"/>
        </w:rPr>
        <w:t xml:space="preserve"> which</w:t>
      </w:r>
      <w:proofErr w:type="gramEnd"/>
      <w:r w:rsidR="009F2303" w:rsidRPr="00403D9E">
        <w:rPr>
          <w:sz w:val="20"/>
          <w:szCs w:val="20"/>
        </w:rPr>
        <w:t xml:space="preserve"> may have exacerbated hyperglycemia.</w:t>
      </w:r>
    </w:p>
    <w:p w14:paraId="7CB0488C" w14:textId="77777777" w:rsidR="007C15BF" w:rsidRPr="00403D9E" w:rsidRDefault="007C15BF" w:rsidP="00403D9E">
      <w:pPr>
        <w:contextualSpacing/>
        <w:mirrorIndents/>
        <w:jc w:val="both"/>
        <w:rPr>
          <w:color w:val="FF0000"/>
          <w:sz w:val="20"/>
          <w:szCs w:val="20"/>
        </w:rPr>
      </w:pPr>
    </w:p>
    <w:p w14:paraId="481DA290" w14:textId="4527A620" w:rsidR="00211916" w:rsidRPr="00403D9E" w:rsidRDefault="004A2C00" w:rsidP="00403D9E">
      <w:pPr>
        <w:contextualSpacing/>
        <w:mirrorIndents/>
        <w:jc w:val="both"/>
        <w:rPr>
          <w:sz w:val="20"/>
          <w:szCs w:val="20"/>
        </w:rPr>
      </w:pPr>
      <w:r w:rsidRPr="00403D9E">
        <w:rPr>
          <w:sz w:val="20"/>
          <w:szCs w:val="20"/>
        </w:rPr>
        <w:t>D</w:t>
      </w:r>
      <w:r w:rsidR="00211916" w:rsidRPr="00403D9E">
        <w:rPr>
          <w:sz w:val="20"/>
          <w:szCs w:val="20"/>
        </w:rPr>
        <w:t>rug-induced pancreatitis secondary to SGLT-2 inhibitors</w:t>
      </w:r>
      <w:r w:rsidRPr="00403D9E">
        <w:rPr>
          <w:sz w:val="20"/>
          <w:szCs w:val="20"/>
        </w:rPr>
        <w:t xml:space="preserve"> has also been reported</w:t>
      </w:r>
      <w:r w:rsidR="00211916" w:rsidRPr="00403D9E">
        <w:rPr>
          <w:sz w:val="20"/>
          <w:szCs w:val="20"/>
        </w:rPr>
        <w:t xml:space="preserve"> </w:t>
      </w:r>
      <w:r w:rsidR="00E531FA" w:rsidRPr="00403D9E">
        <w:rPr>
          <w:color w:val="FF0000"/>
          <w:sz w:val="20"/>
          <w:szCs w:val="20"/>
        </w:rPr>
        <w:t>[1</w:t>
      </w:r>
      <w:proofErr w:type="gramStart"/>
      <w:r w:rsidR="00E531FA" w:rsidRPr="00403D9E">
        <w:rPr>
          <w:color w:val="FF0000"/>
          <w:sz w:val="20"/>
          <w:szCs w:val="20"/>
        </w:rPr>
        <w:t>,7</w:t>
      </w:r>
      <w:proofErr w:type="gramEnd"/>
      <w:r w:rsidR="00E531FA" w:rsidRPr="00403D9E">
        <w:rPr>
          <w:color w:val="FF0000"/>
          <w:sz w:val="20"/>
          <w:szCs w:val="20"/>
        </w:rPr>
        <w:t>]</w:t>
      </w:r>
      <w:r w:rsidR="00211916" w:rsidRPr="00403D9E">
        <w:rPr>
          <w:sz w:val="20"/>
          <w:szCs w:val="20"/>
        </w:rPr>
        <w:t xml:space="preserve">. </w:t>
      </w:r>
      <w:r w:rsidR="00D32DA6" w:rsidRPr="00403D9E">
        <w:rPr>
          <w:sz w:val="20"/>
          <w:szCs w:val="20"/>
        </w:rPr>
        <w:t>T</w:t>
      </w:r>
      <w:r w:rsidR="00211916" w:rsidRPr="00403D9E">
        <w:rPr>
          <w:sz w:val="20"/>
          <w:szCs w:val="20"/>
        </w:rPr>
        <w:t xml:space="preserve">he specific pathophysiology </w:t>
      </w:r>
      <w:r w:rsidR="009F2303" w:rsidRPr="00403D9E">
        <w:rPr>
          <w:sz w:val="20"/>
          <w:szCs w:val="20"/>
        </w:rPr>
        <w:t>of</w:t>
      </w:r>
      <w:r w:rsidR="00211916" w:rsidRPr="00403D9E">
        <w:rPr>
          <w:sz w:val="20"/>
          <w:szCs w:val="20"/>
        </w:rPr>
        <w:t xml:space="preserve"> SGLT-2 induced pancreatitis remains unclear</w:t>
      </w:r>
      <w:r w:rsidR="00D32DA6" w:rsidRPr="00403D9E">
        <w:rPr>
          <w:sz w:val="20"/>
          <w:szCs w:val="20"/>
        </w:rPr>
        <w:t xml:space="preserve"> at this point in time; however, postulated </w:t>
      </w:r>
      <w:r w:rsidR="00211916" w:rsidRPr="00403D9E">
        <w:rPr>
          <w:sz w:val="20"/>
          <w:szCs w:val="20"/>
        </w:rPr>
        <w:t xml:space="preserve">mechanisms include direct toxic effects, immune reactions, </w:t>
      </w:r>
      <w:r w:rsidR="009F2303" w:rsidRPr="00403D9E">
        <w:rPr>
          <w:sz w:val="20"/>
          <w:szCs w:val="20"/>
        </w:rPr>
        <w:t>and</w:t>
      </w:r>
      <w:r w:rsidR="00211916" w:rsidRPr="00403D9E">
        <w:rPr>
          <w:sz w:val="20"/>
          <w:szCs w:val="20"/>
        </w:rPr>
        <w:t xml:space="preserve"> hypersensitivity reactions </w:t>
      </w:r>
      <w:r w:rsidR="003D3C20" w:rsidRPr="00403D9E">
        <w:rPr>
          <w:color w:val="FF0000"/>
          <w:sz w:val="20"/>
          <w:szCs w:val="20"/>
        </w:rPr>
        <w:t>[7</w:t>
      </w:r>
      <w:proofErr w:type="gramStart"/>
      <w:r w:rsidR="003D3C20" w:rsidRPr="00403D9E">
        <w:rPr>
          <w:color w:val="FF0000"/>
          <w:sz w:val="20"/>
          <w:szCs w:val="20"/>
        </w:rPr>
        <w:t>,9</w:t>
      </w:r>
      <w:proofErr w:type="gramEnd"/>
      <w:r w:rsidR="003D3C20" w:rsidRPr="00403D9E">
        <w:rPr>
          <w:color w:val="FF0000"/>
          <w:sz w:val="20"/>
          <w:szCs w:val="20"/>
        </w:rPr>
        <w:t>]</w:t>
      </w:r>
      <w:r w:rsidR="00211916" w:rsidRPr="00403D9E">
        <w:rPr>
          <w:sz w:val="20"/>
          <w:szCs w:val="20"/>
        </w:rPr>
        <w:t>. In the first case,</w:t>
      </w:r>
      <w:r w:rsidR="00D32DA6" w:rsidRPr="00403D9E">
        <w:rPr>
          <w:sz w:val="20"/>
          <w:szCs w:val="20"/>
        </w:rPr>
        <w:t xml:space="preserve"> the</w:t>
      </w:r>
      <w:r w:rsidR="00211916" w:rsidRPr="00403D9E">
        <w:rPr>
          <w:sz w:val="20"/>
          <w:szCs w:val="20"/>
        </w:rPr>
        <w:t xml:space="preserve"> work-up did not reveal any other etiology of pancreatitis, making ertugliflozi</w:t>
      </w:r>
      <w:r w:rsidR="00D32DA6" w:rsidRPr="00403D9E">
        <w:rPr>
          <w:sz w:val="20"/>
          <w:szCs w:val="20"/>
        </w:rPr>
        <w:t>n-</w:t>
      </w:r>
      <w:r w:rsidR="00211916" w:rsidRPr="00403D9E">
        <w:rPr>
          <w:sz w:val="20"/>
          <w:szCs w:val="20"/>
        </w:rPr>
        <w:t>induced pancreatitis the most likely culprit</w:t>
      </w:r>
      <w:r w:rsidR="000C37DF" w:rsidRPr="00403D9E">
        <w:rPr>
          <w:sz w:val="20"/>
          <w:szCs w:val="20"/>
        </w:rPr>
        <w:t xml:space="preserve">. </w:t>
      </w:r>
      <w:r w:rsidR="009F2303" w:rsidRPr="00403D9E">
        <w:rPr>
          <w:sz w:val="20"/>
          <w:szCs w:val="20"/>
        </w:rPr>
        <w:t xml:space="preserve">It </w:t>
      </w:r>
      <w:r w:rsidR="00211916" w:rsidRPr="00403D9E">
        <w:rPr>
          <w:sz w:val="20"/>
          <w:szCs w:val="20"/>
        </w:rPr>
        <w:t xml:space="preserve">is unclear whether </w:t>
      </w:r>
      <w:r w:rsidR="009F2303" w:rsidRPr="00403D9E">
        <w:rPr>
          <w:sz w:val="20"/>
          <w:szCs w:val="20"/>
        </w:rPr>
        <w:t xml:space="preserve">our second patient </w:t>
      </w:r>
      <w:r w:rsidR="00B27534" w:rsidRPr="00403D9E">
        <w:rPr>
          <w:sz w:val="20"/>
          <w:szCs w:val="20"/>
        </w:rPr>
        <w:t xml:space="preserve">had </w:t>
      </w:r>
      <w:r w:rsidR="009F2303" w:rsidRPr="00403D9E">
        <w:rPr>
          <w:sz w:val="20"/>
          <w:szCs w:val="20"/>
        </w:rPr>
        <w:t>SGLT-2 induced</w:t>
      </w:r>
      <w:r w:rsidR="009F2303" w:rsidRPr="00403D9E">
        <w:rPr>
          <w:color w:val="FF0000"/>
          <w:sz w:val="20"/>
          <w:szCs w:val="20"/>
        </w:rPr>
        <w:t xml:space="preserve"> </w:t>
      </w:r>
      <w:r w:rsidR="00211916" w:rsidRPr="00403D9E">
        <w:rPr>
          <w:sz w:val="20"/>
          <w:szCs w:val="20"/>
        </w:rPr>
        <w:t>pancreatitis, as he also present</w:t>
      </w:r>
      <w:r w:rsidR="00D32DA6" w:rsidRPr="00403D9E">
        <w:rPr>
          <w:sz w:val="20"/>
          <w:szCs w:val="20"/>
        </w:rPr>
        <w:t>ed</w:t>
      </w:r>
      <w:r w:rsidR="00211916" w:rsidRPr="00403D9E">
        <w:rPr>
          <w:sz w:val="20"/>
          <w:szCs w:val="20"/>
        </w:rPr>
        <w:t xml:space="preserve"> with hypertriglyceridemia</w:t>
      </w:r>
      <w:r w:rsidR="00D32DA6" w:rsidRPr="00403D9E">
        <w:rPr>
          <w:sz w:val="20"/>
          <w:szCs w:val="20"/>
        </w:rPr>
        <w:t xml:space="preserve"> and </w:t>
      </w:r>
      <w:proofErr w:type="gramStart"/>
      <w:r w:rsidR="00D32DA6" w:rsidRPr="00403D9E">
        <w:rPr>
          <w:sz w:val="20"/>
          <w:szCs w:val="20"/>
        </w:rPr>
        <w:t>was prescribed</w:t>
      </w:r>
      <w:proofErr w:type="gramEnd"/>
      <w:r w:rsidR="00D32DA6" w:rsidRPr="00403D9E">
        <w:rPr>
          <w:sz w:val="20"/>
          <w:szCs w:val="20"/>
        </w:rPr>
        <w:t xml:space="preserve"> fenofibrate</w:t>
      </w:r>
      <w:r w:rsidR="00D83D87" w:rsidRPr="00403D9E">
        <w:rPr>
          <w:sz w:val="20"/>
          <w:szCs w:val="20"/>
        </w:rPr>
        <w:t xml:space="preserve"> </w:t>
      </w:r>
      <w:r w:rsidR="00D83D87" w:rsidRPr="00403D9E">
        <w:rPr>
          <w:color w:val="FF0000"/>
          <w:sz w:val="20"/>
          <w:szCs w:val="20"/>
        </w:rPr>
        <w:t>[10]</w:t>
      </w:r>
      <w:r w:rsidR="00211916" w:rsidRPr="00403D9E">
        <w:rPr>
          <w:sz w:val="20"/>
          <w:szCs w:val="20"/>
        </w:rPr>
        <w:t xml:space="preserve">. Regardless of etiology, it is plausible that pancreatitis triggered </w:t>
      </w:r>
      <w:r w:rsidR="009F2303" w:rsidRPr="00403D9E">
        <w:rPr>
          <w:sz w:val="20"/>
          <w:szCs w:val="20"/>
        </w:rPr>
        <w:t xml:space="preserve">hyperglycemic </w:t>
      </w:r>
      <w:r w:rsidR="00B27534" w:rsidRPr="00403D9E">
        <w:rPr>
          <w:sz w:val="20"/>
          <w:szCs w:val="20"/>
        </w:rPr>
        <w:t>DKA</w:t>
      </w:r>
      <w:r w:rsidR="00211916" w:rsidRPr="00403D9E">
        <w:rPr>
          <w:sz w:val="20"/>
          <w:szCs w:val="20"/>
        </w:rPr>
        <w:t>, rather than euglycemic DKA</w:t>
      </w:r>
      <w:r w:rsidR="00126C0E" w:rsidRPr="00403D9E">
        <w:rPr>
          <w:sz w:val="20"/>
          <w:szCs w:val="20"/>
        </w:rPr>
        <w:t>.</w:t>
      </w:r>
      <w:r w:rsidR="00211916" w:rsidRPr="00403D9E">
        <w:rPr>
          <w:sz w:val="20"/>
          <w:szCs w:val="20"/>
        </w:rPr>
        <w:t xml:space="preserve"> </w:t>
      </w:r>
    </w:p>
    <w:p w14:paraId="42C18B03" w14:textId="77777777" w:rsidR="007C15BF" w:rsidRPr="00403D9E" w:rsidRDefault="007C15BF" w:rsidP="00403D9E">
      <w:pPr>
        <w:contextualSpacing/>
        <w:mirrorIndents/>
        <w:jc w:val="both"/>
        <w:rPr>
          <w:sz w:val="20"/>
          <w:szCs w:val="20"/>
        </w:rPr>
      </w:pPr>
    </w:p>
    <w:p w14:paraId="69BFE831" w14:textId="60AAD5C4" w:rsidR="007C15BF" w:rsidRDefault="007517E9" w:rsidP="00403D9E">
      <w:pPr>
        <w:contextualSpacing/>
        <w:mirrorIndents/>
        <w:jc w:val="both"/>
        <w:rPr>
          <w:sz w:val="20"/>
          <w:szCs w:val="20"/>
        </w:rPr>
      </w:pPr>
      <w:r w:rsidRPr="00403D9E">
        <w:rPr>
          <w:sz w:val="20"/>
          <w:szCs w:val="20"/>
        </w:rPr>
        <w:t>SGLT-2 inhibitors can also lead to prolonged and relapsing courses of DKA</w:t>
      </w:r>
      <w:r w:rsidR="008C520D" w:rsidRPr="00403D9E">
        <w:rPr>
          <w:sz w:val="20"/>
          <w:szCs w:val="20"/>
        </w:rPr>
        <w:t xml:space="preserve"> </w:t>
      </w:r>
      <w:r w:rsidR="008C520D" w:rsidRPr="00403D9E">
        <w:rPr>
          <w:color w:val="FF0000"/>
          <w:sz w:val="20"/>
          <w:szCs w:val="20"/>
        </w:rPr>
        <w:t>[8</w:t>
      </w:r>
      <w:proofErr w:type="gramStart"/>
      <w:r w:rsidR="008C520D" w:rsidRPr="00403D9E">
        <w:rPr>
          <w:color w:val="FF0000"/>
          <w:sz w:val="20"/>
          <w:szCs w:val="20"/>
        </w:rPr>
        <w:t>,11</w:t>
      </w:r>
      <w:proofErr w:type="gramEnd"/>
      <w:r w:rsidR="008C520D" w:rsidRPr="00403D9E">
        <w:rPr>
          <w:color w:val="FF0000"/>
          <w:sz w:val="20"/>
          <w:szCs w:val="20"/>
        </w:rPr>
        <w:t>]</w:t>
      </w:r>
      <w:r w:rsidR="00211916" w:rsidRPr="00403D9E">
        <w:rPr>
          <w:sz w:val="20"/>
          <w:szCs w:val="20"/>
        </w:rPr>
        <w:t>. DKA</w:t>
      </w:r>
      <w:r w:rsidR="00166EAC" w:rsidRPr="00403D9E">
        <w:rPr>
          <w:sz w:val="20"/>
          <w:szCs w:val="20"/>
        </w:rPr>
        <w:t>,</w:t>
      </w:r>
      <w:r w:rsidR="00211916" w:rsidRPr="00403D9E">
        <w:rPr>
          <w:sz w:val="20"/>
          <w:szCs w:val="20"/>
        </w:rPr>
        <w:t xml:space="preserve"> in the absence of SGLT-2 inhibitors</w:t>
      </w:r>
      <w:r w:rsidR="00166EAC" w:rsidRPr="00403D9E">
        <w:rPr>
          <w:sz w:val="20"/>
          <w:szCs w:val="20"/>
        </w:rPr>
        <w:t>,</w:t>
      </w:r>
      <w:r w:rsidR="00211916" w:rsidRPr="00403D9E">
        <w:rPr>
          <w:sz w:val="20"/>
          <w:szCs w:val="20"/>
        </w:rPr>
        <w:t xml:space="preserve"> tends to resolve </w:t>
      </w:r>
      <w:r w:rsidR="00166EAC" w:rsidRPr="00403D9E">
        <w:rPr>
          <w:sz w:val="20"/>
          <w:szCs w:val="20"/>
        </w:rPr>
        <w:t>in 11 hours on</w:t>
      </w:r>
      <w:r w:rsidR="00211916" w:rsidRPr="00403D9E">
        <w:rPr>
          <w:sz w:val="20"/>
          <w:szCs w:val="20"/>
        </w:rPr>
        <w:t xml:space="preserve"> average</w:t>
      </w:r>
      <w:r w:rsidR="00166EAC" w:rsidRPr="00403D9E">
        <w:rPr>
          <w:sz w:val="20"/>
          <w:szCs w:val="20"/>
        </w:rPr>
        <w:t xml:space="preserve">, </w:t>
      </w:r>
      <w:r w:rsidR="00C068EC" w:rsidRPr="00403D9E">
        <w:rPr>
          <w:sz w:val="20"/>
          <w:szCs w:val="20"/>
        </w:rPr>
        <w:t>with a typical</w:t>
      </w:r>
      <w:r w:rsidR="00B27534" w:rsidRPr="00403D9E">
        <w:rPr>
          <w:sz w:val="20"/>
          <w:szCs w:val="20"/>
        </w:rPr>
        <w:t xml:space="preserve"> </w:t>
      </w:r>
      <w:proofErr w:type="gramStart"/>
      <w:r w:rsidR="00C068EC" w:rsidRPr="00403D9E">
        <w:rPr>
          <w:sz w:val="20"/>
          <w:szCs w:val="20"/>
        </w:rPr>
        <w:t>3</w:t>
      </w:r>
      <w:r w:rsidR="00B27534" w:rsidRPr="00403D9E">
        <w:rPr>
          <w:sz w:val="20"/>
          <w:szCs w:val="20"/>
        </w:rPr>
        <w:t xml:space="preserve"> </w:t>
      </w:r>
      <w:r w:rsidR="00C068EC" w:rsidRPr="00403D9E">
        <w:rPr>
          <w:sz w:val="20"/>
          <w:szCs w:val="20"/>
        </w:rPr>
        <w:t>day</w:t>
      </w:r>
      <w:proofErr w:type="gramEnd"/>
      <w:r w:rsidR="00166EAC" w:rsidRPr="00403D9E">
        <w:rPr>
          <w:sz w:val="20"/>
          <w:szCs w:val="20"/>
        </w:rPr>
        <w:t xml:space="preserve"> </w:t>
      </w:r>
      <w:r w:rsidR="00211916" w:rsidRPr="00403D9E">
        <w:rPr>
          <w:sz w:val="20"/>
          <w:szCs w:val="20"/>
        </w:rPr>
        <w:t xml:space="preserve">hospital </w:t>
      </w:r>
      <w:r w:rsidR="001E2C8B" w:rsidRPr="00403D9E">
        <w:rPr>
          <w:sz w:val="20"/>
          <w:szCs w:val="20"/>
        </w:rPr>
        <w:t xml:space="preserve">Length of Stay </w:t>
      </w:r>
      <w:r w:rsidR="00211916" w:rsidRPr="00403D9E">
        <w:rPr>
          <w:sz w:val="20"/>
          <w:szCs w:val="20"/>
        </w:rPr>
        <w:t>(LOS)</w:t>
      </w:r>
      <w:r w:rsidR="004221C0" w:rsidRPr="00403D9E">
        <w:rPr>
          <w:sz w:val="20"/>
          <w:szCs w:val="20"/>
        </w:rPr>
        <w:t xml:space="preserve"> </w:t>
      </w:r>
      <w:r w:rsidR="004221C0" w:rsidRPr="00403D9E">
        <w:rPr>
          <w:color w:val="FF0000"/>
          <w:sz w:val="20"/>
          <w:szCs w:val="20"/>
        </w:rPr>
        <w:t>[5]</w:t>
      </w:r>
      <w:r w:rsidR="00211916" w:rsidRPr="00403D9E">
        <w:rPr>
          <w:sz w:val="20"/>
          <w:szCs w:val="20"/>
        </w:rPr>
        <w:t>.</w:t>
      </w:r>
      <w:r w:rsidR="00E11E10" w:rsidRPr="00403D9E">
        <w:rPr>
          <w:sz w:val="20"/>
          <w:szCs w:val="20"/>
        </w:rPr>
        <w:t xml:space="preserve"> </w:t>
      </w:r>
      <w:r w:rsidR="00211916" w:rsidRPr="00403D9E">
        <w:rPr>
          <w:sz w:val="20"/>
          <w:szCs w:val="20"/>
        </w:rPr>
        <w:t>Both cases presented here had a longer time to resolution as well as a longer</w:t>
      </w:r>
      <w:r w:rsidR="00C068EC" w:rsidRPr="00403D9E">
        <w:rPr>
          <w:sz w:val="20"/>
          <w:szCs w:val="20"/>
        </w:rPr>
        <w:t xml:space="preserve"> hospital</w:t>
      </w:r>
      <w:r w:rsidR="00211916" w:rsidRPr="00403D9E">
        <w:rPr>
          <w:sz w:val="20"/>
          <w:szCs w:val="20"/>
        </w:rPr>
        <w:t xml:space="preserve"> LOS</w:t>
      </w:r>
      <w:r w:rsidR="00166EAC" w:rsidRPr="00403D9E">
        <w:rPr>
          <w:sz w:val="20"/>
          <w:szCs w:val="20"/>
        </w:rPr>
        <w:t xml:space="preserve"> due to</w:t>
      </w:r>
      <w:r w:rsidR="00211916" w:rsidRPr="00403D9E">
        <w:rPr>
          <w:sz w:val="20"/>
          <w:szCs w:val="20"/>
        </w:rPr>
        <w:t xml:space="preserve"> </w:t>
      </w:r>
      <w:r w:rsidR="00166EAC" w:rsidRPr="00403D9E">
        <w:rPr>
          <w:sz w:val="20"/>
          <w:szCs w:val="20"/>
        </w:rPr>
        <w:t>recurrent</w:t>
      </w:r>
      <w:r w:rsidR="00211916" w:rsidRPr="00403D9E">
        <w:rPr>
          <w:sz w:val="20"/>
          <w:szCs w:val="20"/>
        </w:rPr>
        <w:t xml:space="preserve"> </w:t>
      </w:r>
      <w:r w:rsidR="00B84E9A" w:rsidRPr="00403D9E">
        <w:rPr>
          <w:sz w:val="20"/>
          <w:szCs w:val="20"/>
        </w:rPr>
        <w:t>acidosis</w:t>
      </w:r>
      <w:r w:rsidR="00211916" w:rsidRPr="00403D9E">
        <w:rPr>
          <w:sz w:val="20"/>
          <w:szCs w:val="20"/>
        </w:rPr>
        <w:t xml:space="preserve"> after transition to subcutaneous insulin, </w:t>
      </w:r>
      <w:r w:rsidR="00166EAC" w:rsidRPr="00403D9E">
        <w:rPr>
          <w:sz w:val="20"/>
          <w:szCs w:val="20"/>
        </w:rPr>
        <w:t>which necessitated</w:t>
      </w:r>
      <w:r w:rsidR="00211916" w:rsidRPr="00403D9E">
        <w:rPr>
          <w:sz w:val="20"/>
          <w:szCs w:val="20"/>
        </w:rPr>
        <w:t xml:space="preserve"> </w:t>
      </w:r>
      <w:r w:rsidR="002C31D7" w:rsidRPr="00403D9E">
        <w:rPr>
          <w:sz w:val="20"/>
          <w:szCs w:val="20"/>
        </w:rPr>
        <w:t>reinitiating</w:t>
      </w:r>
      <w:r w:rsidR="00B84E9A" w:rsidRPr="00403D9E">
        <w:rPr>
          <w:sz w:val="20"/>
          <w:szCs w:val="20"/>
        </w:rPr>
        <w:t xml:space="preserve"> </w:t>
      </w:r>
      <w:r w:rsidR="003E54B7" w:rsidRPr="00403D9E">
        <w:rPr>
          <w:sz w:val="20"/>
          <w:szCs w:val="20"/>
        </w:rPr>
        <w:t>i</w:t>
      </w:r>
      <w:r w:rsidR="00211916" w:rsidRPr="00403D9E">
        <w:rPr>
          <w:sz w:val="20"/>
          <w:szCs w:val="20"/>
        </w:rPr>
        <w:t xml:space="preserve">ntravenous insulin. </w:t>
      </w:r>
      <w:r w:rsidR="00C068EC" w:rsidRPr="00403D9E">
        <w:rPr>
          <w:sz w:val="20"/>
          <w:szCs w:val="20"/>
        </w:rPr>
        <w:t>The protracted acidosis</w:t>
      </w:r>
      <w:r w:rsidR="00B84E9A" w:rsidRPr="00403D9E">
        <w:rPr>
          <w:sz w:val="20"/>
          <w:szCs w:val="20"/>
        </w:rPr>
        <w:t xml:space="preserve"> </w:t>
      </w:r>
      <w:proofErr w:type="gramStart"/>
      <w:r w:rsidR="00B84E9A" w:rsidRPr="00403D9E">
        <w:rPr>
          <w:sz w:val="20"/>
          <w:szCs w:val="20"/>
        </w:rPr>
        <w:t xml:space="preserve">may </w:t>
      </w:r>
      <w:r w:rsidR="00FE28C7" w:rsidRPr="00403D9E">
        <w:rPr>
          <w:sz w:val="20"/>
          <w:szCs w:val="20"/>
        </w:rPr>
        <w:t>be related</w:t>
      </w:r>
      <w:proofErr w:type="gramEnd"/>
      <w:r w:rsidR="00211916" w:rsidRPr="00403D9E">
        <w:rPr>
          <w:sz w:val="20"/>
          <w:szCs w:val="20"/>
        </w:rPr>
        <w:t xml:space="preserve"> to the longer half</w:t>
      </w:r>
      <w:r w:rsidR="00E24949" w:rsidRPr="00403D9E">
        <w:rPr>
          <w:sz w:val="20"/>
          <w:szCs w:val="20"/>
        </w:rPr>
        <w:t>-</w:t>
      </w:r>
      <w:r w:rsidR="00211916" w:rsidRPr="00403D9E">
        <w:rPr>
          <w:sz w:val="20"/>
          <w:szCs w:val="20"/>
        </w:rPr>
        <w:t>lives of SGLT-2 inhibitors, which</w:t>
      </w:r>
      <w:r w:rsidR="00B84E9A" w:rsidRPr="00403D9E">
        <w:rPr>
          <w:sz w:val="20"/>
          <w:szCs w:val="20"/>
        </w:rPr>
        <w:t xml:space="preserve"> can</w:t>
      </w:r>
      <w:r w:rsidR="00211916" w:rsidRPr="00403D9E">
        <w:rPr>
          <w:sz w:val="20"/>
          <w:szCs w:val="20"/>
        </w:rPr>
        <w:t xml:space="preserve"> range from 10 to 19 hours</w:t>
      </w:r>
      <w:r w:rsidR="00011433" w:rsidRPr="00403D9E">
        <w:rPr>
          <w:sz w:val="20"/>
          <w:szCs w:val="20"/>
        </w:rPr>
        <w:t xml:space="preserve"> </w:t>
      </w:r>
      <w:r w:rsidR="00011433" w:rsidRPr="00403D9E">
        <w:rPr>
          <w:color w:val="FF0000"/>
          <w:sz w:val="20"/>
          <w:szCs w:val="20"/>
        </w:rPr>
        <w:t>[5]</w:t>
      </w:r>
      <w:r w:rsidR="00211916" w:rsidRPr="00403D9E">
        <w:rPr>
          <w:sz w:val="20"/>
          <w:szCs w:val="20"/>
        </w:rPr>
        <w:t xml:space="preserve">. </w:t>
      </w:r>
      <w:r w:rsidR="00B84E9A" w:rsidRPr="00403D9E">
        <w:rPr>
          <w:sz w:val="20"/>
          <w:szCs w:val="20"/>
        </w:rPr>
        <w:t>These drugs are contraindicated in patients with reduced renal function</w:t>
      </w:r>
      <w:r w:rsidR="005B4B5C" w:rsidRPr="00403D9E">
        <w:rPr>
          <w:sz w:val="20"/>
          <w:szCs w:val="20"/>
        </w:rPr>
        <w:t>-</w:t>
      </w:r>
      <w:r w:rsidR="001754BD" w:rsidRPr="00403D9E">
        <w:rPr>
          <w:sz w:val="20"/>
          <w:szCs w:val="20"/>
        </w:rPr>
        <w:t>e</w:t>
      </w:r>
      <w:r w:rsidR="00B27534" w:rsidRPr="00403D9E">
        <w:rPr>
          <w:sz w:val="20"/>
          <w:szCs w:val="20"/>
        </w:rPr>
        <w:t>r</w:t>
      </w:r>
      <w:r w:rsidR="00211916" w:rsidRPr="00403D9E">
        <w:rPr>
          <w:sz w:val="20"/>
          <w:szCs w:val="20"/>
        </w:rPr>
        <w:t xml:space="preserve">tugliflozin is contraindicated in patients with </w:t>
      </w:r>
      <w:r w:rsidR="00211916" w:rsidRPr="00403D9E">
        <w:rPr>
          <w:sz w:val="20"/>
          <w:szCs w:val="20"/>
        </w:rPr>
        <w:lastRenderedPageBreak/>
        <w:t xml:space="preserve">an </w:t>
      </w:r>
      <w:r w:rsidR="007803F5" w:rsidRPr="00403D9E">
        <w:rPr>
          <w:sz w:val="20"/>
          <w:szCs w:val="20"/>
        </w:rPr>
        <w:t xml:space="preserve">Estimated Glomerular Filtration Rate </w:t>
      </w:r>
      <w:r w:rsidR="00B05533" w:rsidRPr="00403D9E">
        <w:rPr>
          <w:sz w:val="20"/>
          <w:szCs w:val="20"/>
        </w:rPr>
        <w:t>(</w:t>
      </w:r>
      <w:r w:rsidR="00211916" w:rsidRPr="00403D9E">
        <w:rPr>
          <w:sz w:val="20"/>
          <w:szCs w:val="20"/>
        </w:rPr>
        <w:t>eGFR</w:t>
      </w:r>
      <w:r w:rsidR="00B05533" w:rsidRPr="00403D9E">
        <w:rPr>
          <w:sz w:val="20"/>
          <w:szCs w:val="20"/>
        </w:rPr>
        <w:t>) of</w:t>
      </w:r>
      <w:r w:rsidR="00211916" w:rsidRPr="00403D9E">
        <w:rPr>
          <w:sz w:val="20"/>
          <w:szCs w:val="20"/>
        </w:rPr>
        <w:t xml:space="preserve"> less than 45, and empagliflozin is contraindicated with an eGFR below 30. Both patients presented here were critically ill</w:t>
      </w:r>
      <w:r w:rsidR="00E24949" w:rsidRPr="00403D9E">
        <w:rPr>
          <w:sz w:val="20"/>
          <w:szCs w:val="20"/>
        </w:rPr>
        <w:t xml:space="preserve"> </w:t>
      </w:r>
      <w:r w:rsidR="00211916" w:rsidRPr="00403D9E">
        <w:rPr>
          <w:sz w:val="20"/>
          <w:szCs w:val="20"/>
        </w:rPr>
        <w:t xml:space="preserve">and had acute kidney injury </w:t>
      </w:r>
      <w:r w:rsidR="00E24949" w:rsidRPr="00403D9E">
        <w:rPr>
          <w:sz w:val="20"/>
          <w:szCs w:val="20"/>
        </w:rPr>
        <w:t>with a GFR below</w:t>
      </w:r>
      <w:r w:rsidR="001754BD" w:rsidRPr="00403D9E">
        <w:rPr>
          <w:sz w:val="20"/>
          <w:szCs w:val="20"/>
        </w:rPr>
        <w:t xml:space="preserve"> that</w:t>
      </w:r>
      <w:r w:rsidR="00E24949" w:rsidRPr="00403D9E">
        <w:rPr>
          <w:sz w:val="20"/>
          <w:szCs w:val="20"/>
        </w:rPr>
        <w:t xml:space="preserve"> which these agents </w:t>
      </w:r>
      <w:proofErr w:type="gramStart"/>
      <w:r w:rsidR="00E24949" w:rsidRPr="00403D9E">
        <w:rPr>
          <w:sz w:val="20"/>
          <w:szCs w:val="20"/>
        </w:rPr>
        <w:t>would be recommended</w:t>
      </w:r>
      <w:proofErr w:type="gramEnd"/>
      <w:r w:rsidR="00E24949" w:rsidRPr="00403D9E">
        <w:rPr>
          <w:sz w:val="20"/>
          <w:szCs w:val="20"/>
        </w:rPr>
        <w:t xml:space="preserve">. </w:t>
      </w:r>
      <w:r w:rsidR="00565E67" w:rsidRPr="00403D9E">
        <w:rPr>
          <w:sz w:val="20"/>
          <w:szCs w:val="20"/>
        </w:rPr>
        <w:t xml:space="preserve">The presence of glucosuria late into the hospital admission for both cases further supports that both patients had prolonged </w:t>
      </w:r>
      <w:r w:rsidR="00211916" w:rsidRPr="00403D9E">
        <w:rPr>
          <w:sz w:val="20"/>
          <w:szCs w:val="20"/>
        </w:rPr>
        <w:t>effects of SGLT-2 inhibiting drugs in the presence of acute kidney injury.</w:t>
      </w:r>
      <w:r w:rsidR="00E24949" w:rsidRPr="00403D9E">
        <w:rPr>
          <w:sz w:val="20"/>
          <w:szCs w:val="20"/>
        </w:rPr>
        <w:t xml:space="preserve"> Glucosuria was present </w:t>
      </w:r>
      <w:r w:rsidR="00211916" w:rsidRPr="00403D9E">
        <w:rPr>
          <w:sz w:val="20"/>
          <w:szCs w:val="20"/>
        </w:rPr>
        <w:t xml:space="preserve">until hospital day 4 in </w:t>
      </w:r>
      <w:r w:rsidR="00E24949" w:rsidRPr="00403D9E">
        <w:rPr>
          <w:sz w:val="20"/>
          <w:szCs w:val="20"/>
        </w:rPr>
        <w:t>case</w:t>
      </w:r>
      <w:r w:rsidR="00B05533" w:rsidRPr="00403D9E">
        <w:rPr>
          <w:sz w:val="20"/>
          <w:szCs w:val="20"/>
        </w:rPr>
        <w:t xml:space="preserve"> 1</w:t>
      </w:r>
      <w:r w:rsidR="00211916" w:rsidRPr="00403D9E">
        <w:rPr>
          <w:sz w:val="20"/>
          <w:szCs w:val="20"/>
        </w:rPr>
        <w:t xml:space="preserve">, and day 8 in </w:t>
      </w:r>
      <w:r w:rsidR="00E24949" w:rsidRPr="00403D9E">
        <w:rPr>
          <w:sz w:val="20"/>
          <w:szCs w:val="20"/>
        </w:rPr>
        <w:t>case</w:t>
      </w:r>
      <w:r w:rsidR="00B05533" w:rsidRPr="00403D9E">
        <w:rPr>
          <w:sz w:val="20"/>
          <w:szCs w:val="20"/>
        </w:rPr>
        <w:t xml:space="preserve"> 2</w:t>
      </w:r>
      <w:r w:rsidR="00E24949" w:rsidRPr="00403D9E">
        <w:rPr>
          <w:sz w:val="20"/>
          <w:szCs w:val="20"/>
        </w:rPr>
        <w:t>.</w:t>
      </w:r>
      <w:r w:rsidR="001356D4" w:rsidRPr="00403D9E">
        <w:rPr>
          <w:sz w:val="20"/>
          <w:szCs w:val="20"/>
        </w:rPr>
        <w:t xml:space="preserve"> This highlights the need to identify patients who present with hypovolemia and acute kidney injury, and </w:t>
      </w:r>
      <w:r w:rsidR="001754BD" w:rsidRPr="00403D9E">
        <w:rPr>
          <w:sz w:val="20"/>
          <w:szCs w:val="20"/>
        </w:rPr>
        <w:t>ensure</w:t>
      </w:r>
      <w:r w:rsidR="001356D4" w:rsidRPr="00403D9E">
        <w:rPr>
          <w:sz w:val="20"/>
          <w:szCs w:val="20"/>
        </w:rPr>
        <w:t xml:space="preserve"> that SGLT-2 inhibitors </w:t>
      </w:r>
      <w:proofErr w:type="gramStart"/>
      <w:r w:rsidR="001356D4" w:rsidRPr="00403D9E">
        <w:rPr>
          <w:sz w:val="20"/>
          <w:szCs w:val="20"/>
        </w:rPr>
        <w:t xml:space="preserve">are not </w:t>
      </w:r>
      <w:r w:rsidR="000E5B37" w:rsidRPr="00403D9E">
        <w:rPr>
          <w:sz w:val="20"/>
          <w:szCs w:val="20"/>
        </w:rPr>
        <w:t>prescribed</w:t>
      </w:r>
      <w:proofErr w:type="gramEnd"/>
      <w:r w:rsidR="005553DC" w:rsidRPr="00403D9E">
        <w:rPr>
          <w:sz w:val="20"/>
          <w:szCs w:val="20"/>
        </w:rPr>
        <w:t xml:space="preserve"> on an inpatient basis</w:t>
      </w:r>
      <w:r w:rsidR="000E5B37" w:rsidRPr="00403D9E">
        <w:rPr>
          <w:sz w:val="20"/>
          <w:szCs w:val="20"/>
        </w:rPr>
        <w:t>.</w:t>
      </w:r>
    </w:p>
    <w:p w14:paraId="14D7B817" w14:textId="77777777" w:rsidR="002845D9" w:rsidRPr="00403D9E" w:rsidRDefault="002845D9" w:rsidP="00403D9E">
      <w:pPr>
        <w:contextualSpacing/>
        <w:mirrorIndents/>
        <w:jc w:val="both"/>
        <w:rPr>
          <w:sz w:val="20"/>
          <w:szCs w:val="20"/>
        </w:rPr>
      </w:pPr>
    </w:p>
    <w:p w14:paraId="5529566D" w14:textId="2E5244DB" w:rsidR="00E24949" w:rsidRPr="00403D9E" w:rsidRDefault="00211916" w:rsidP="00403D9E">
      <w:pPr>
        <w:contextualSpacing/>
        <w:mirrorIndents/>
        <w:jc w:val="both"/>
        <w:rPr>
          <w:sz w:val="20"/>
          <w:szCs w:val="20"/>
        </w:rPr>
      </w:pPr>
      <w:r w:rsidRPr="00403D9E">
        <w:rPr>
          <w:sz w:val="20"/>
          <w:szCs w:val="20"/>
        </w:rPr>
        <w:t xml:space="preserve">In summary, we present </w:t>
      </w:r>
      <w:r w:rsidR="00996511" w:rsidRPr="00403D9E">
        <w:rPr>
          <w:sz w:val="20"/>
          <w:szCs w:val="20"/>
        </w:rPr>
        <w:t xml:space="preserve">two </w:t>
      </w:r>
      <w:r w:rsidR="00217F7C" w:rsidRPr="00403D9E">
        <w:rPr>
          <w:sz w:val="20"/>
          <w:szCs w:val="20"/>
        </w:rPr>
        <w:t xml:space="preserve">cases </w:t>
      </w:r>
      <w:r w:rsidR="00996511" w:rsidRPr="00403D9E">
        <w:rPr>
          <w:sz w:val="20"/>
          <w:szCs w:val="20"/>
        </w:rPr>
        <w:t>of</w:t>
      </w:r>
      <w:r w:rsidR="00217F7C" w:rsidRPr="00403D9E">
        <w:rPr>
          <w:sz w:val="20"/>
          <w:szCs w:val="20"/>
        </w:rPr>
        <w:t xml:space="preserve"> </w:t>
      </w:r>
      <w:proofErr w:type="gramStart"/>
      <w:r w:rsidR="00217F7C" w:rsidRPr="00403D9E">
        <w:rPr>
          <w:sz w:val="20"/>
          <w:szCs w:val="20"/>
        </w:rPr>
        <w:t>critically-ill</w:t>
      </w:r>
      <w:proofErr w:type="gramEnd"/>
      <w:r w:rsidRPr="00403D9E">
        <w:rPr>
          <w:sz w:val="20"/>
          <w:szCs w:val="20"/>
        </w:rPr>
        <w:t xml:space="preserve"> patients</w:t>
      </w:r>
      <w:r w:rsidR="00996511" w:rsidRPr="00403D9E">
        <w:rPr>
          <w:sz w:val="20"/>
          <w:szCs w:val="20"/>
        </w:rPr>
        <w:t xml:space="preserve"> prescribed SGLT-2 inhibitors</w:t>
      </w:r>
      <w:r w:rsidR="00565E67" w:rsidRPr="00403D9E">
        <w:rPr>
          <w:sz w:val="20"/>
          <w:szCs w:val="20"/>
        </w:rPr>
        <w:t xml:space="preserve"> who </w:t>
      </w:r>
      <w:r w:rsidR="00072DE4" w:rsidRPr="00403D9E">
        <w:rPr>
          <w:sz w:val="20"/>
          <w:szCs w:val="20"/>
        </w:rPr>
        <w:t>were</w:t>
      </w:r>
      <w:r w:rsidRPr="00403D9E">
        <w:rPr>
          <w:sz w:val="20"/>
          <w:szCs w:val="20"/>
        </w:rPr>
        <w:t xml:space="preserve"> </w:t>
      </w:r>
      <w:r w:rsidR="00996511" w:rsidRPr="00403D9E">
        <w:rPr>
          <w:sz w:val="20"/>
          <w:szCs w:val="20"/>
        </w:rPr>
        <w:t>admitted with</w:t>
      </w:r>
      <w:r w:rsidR="00217F7C" w:rsidRPr="00403D9E">
        <w:rPr>
          <w:sz w:val="20"/>
          <w:szCs w:val="20"/>
        </w:rPr>
        <w:t xml:space="preserve"> DKA and pancreatitis.</w:t>
      </w:r>
      <w:r w:rsidR="00E11E10" w:rsidRPr="00403D9E">
        <w:rPr>
          <w:sz w:val="20"/>
          <w:szCs w:val="20"/>
        </w:rPr>
        <w:t xml:space="preserve"> </w:t>
      </w:r>
      <w:r w:rsidR="00072DE4" w:rsidRPr="00403D9E">
        <w:rPr>
          <w:sz w:val="20"/>
          <w:szCs w:val="20"/>
        </w:rPr>
        <w:t xml:space="preserve">Their hospital course </w:t>
      </w:r>
      <w:proofErr w:type="gramStart"/>
      <w:r w:rsidR="00072DE4" w:rsidRPr="00403D9E">
        <w:rPr>
          <w:sz w:val="20"/>
          <w:szCs w:val="20"/>
        </w:rPr>
        <w:t>was complicated</w:t>
      </w:r>
      <w:proofErr w:type="gramEnd"/>
      <w:r w:rsidR="00072DE4" w:rsidRPr="00403D9E">
        <w:rPr>
          <w:sz w:val="20"/>
          <w:szCs w:val="20"/>
        </w:rPr>
        <w:t xml:space="preserve"> by a prolonged and relapsing course of DKA.</w:t>
      </w:r>
      <w:r w:rsidR="00217F7C" w:rsidRPr="00403D9E">
        <w:rPr>
          <w:sz w:val="20"/>
          <w:szCs w:val="20"/>
        </w:rPr>
        <w:t xml:space="preserve"> </w:t>
      </w:r>
      <w:r w:rsidR="008050EB" w:rsidRPr="00403D9E">
        <w:rPr>
          <w:sz w:val="20"/>
          <w:szCs w:val="20"/>
        </w:rPr>
        <w:t xml:space="preserve">The use of an SGLT-2 inhibitor can </w:t>
      </w:r>
      <w:r w:rsidR="00072DE4" w:rsidRPr="00403D9E">
        <w:rPr>
          <w:sz w:val="20"/>
          <w:szCs w:val="20"/>
        </w:rPr>
        <w:t>often</w:t>
      </w:r>
      <w:r w:rsidR="008050EB" w:rsidRPr="00403D9E">
        <w:rPr>
          <w:sz w:val="20"/>
          <w:szCs w:val="20"/>
        </w:rPr>
        <w:t xml:space="preserve"> go unrecognized </w:t>
      </w:r>
      <w:r w:rsidR="00072DE4" w:rsidRPr="00403D9E">
        <w:rPr>
          <w:sz w:val="20"/>
          <w:szCs w:val="20"/>
        </w:rPr>
        <w:t xml:space="preserve">especially in encephalopathic patients </w:t>
      </w:r>
      <w:r w:rsidR="00565E67" w:rsidRPr="00403D9E">
        <w:rPr>
          <w:sz w:val="20"/>
          <w:szCs w:val="20"/>
        </w:rPr>
        <w:t>in whom</w:t>
      </w:r>
      <w:r w:rsidR="00072DE4" w:rsidRPr="00403D9E">
        <w:rPr>
          <w:sz w:val="20"/>
          <w:szCs w:val="20"/>
        </w:rPr>
        <w:t xml:space="preserve"> a detailed history can be challenging to obtain.</w:t>
      </w:r>
      <w:r w:rsidR="00E11E10" w:rsidRPr="00403D9E">
        <w:rPr>
          <w:sz w:val="20"/>
          <w:szCs w:val="20"/>
        </w:rPr>
        <w:t xml:space="preserve"> </w:t>
      </w:r>
      <w:r w:rsidR="005A0E26" w:rsidRPr="00403D9E">
        <w:rPr>
          <w:sz w:val="20"/>
          <w:szCs w:val="20"/>
        </w:rPr>
        <w:t>Early</w:t>
      </w:r>
      <w:r w:rsidR="00217F7C" w:rsidRPr="00403D9E">
        <w:rPr>
          <w:sz w:val="20"/>
          <w:szCs w:val="20"/>
        </w:rPr>
        <w:t xml:space="preserve"> identification of</w:t>
      </w:r>
      <w:r w:rsidRPr="00403D9E">
        <w:rPr>
          <w:sz w:val="20"/>
          <w:szCs w:val="20"/>
        </w:rPr>
        <w:t xml:space="preserve"> patients prescribed SGLT-2 inhibitors</w:t>
      </w:r>
      <w:r w:rsidR="005A0E26" w:rsidRPr="00403D9E">
        <w:rPr>
          <w:sz w:val="20"/>
          <w:szCs w:val="20"/>
        </w:rPr>
        <w:t xml:space="preserve"> is imperative</w:t>
      </w:r>
      <w:r w:rsidR="00217F7C" w:rsidRPr="00403D9E">
        <w:rPr>
          <w:sz w:val="20"/>
          <w:szCs w:val="20"/>
        </w:rPr>
        <w:t xml:space="preserve"> because they </w:t>
      </w:r>
      <w:r w:rsidRPr="00403D9E">
        <w:rPr>
          <w:sz w:val="20"/>
          <w:szCs w:val="20"/>
        </w:rPr>
        <w:t xml:space="preserve">have a unique </w:t>
      </w:r>
      <w:r w:rsidR="00B05533" w:rsidRPr="00403D9E">
        <w:rPr>
          <w:sz w:val="20"/>
          <w:szCs w:val="20"/>
        </w:rPr>
        <w:t xml:space="preserve">set of adverse </w:t>
      </w:r>
      <w:proofErr w:type="gramStart"/>
      <w:r w:rsidR="00B05533" w:rsidRPr="00403D9E">
        <w:rPr>
          <w:sz w:val="20"/>
          <w:szCs w:val="20"/>
        </w:rPr>
        <w:t>reactions</w:t>
      </w:r>
      <w:r w:rsidR="002E6B8C" w:rsidRPr="00403D9E">
        <w:rPr>
          <w:sz w:val="20"/>
          <w:szCs w:val="20"/>
        </w:rPr>
        <w:t xml:space="preserve"> which</w:t>
      </w:r>
      <w:proofErr w:type="gramEnd"/>
      <w:r w:rsidR="002E6B8C" w:rsidRPr="00403D9E">
        <w:rPr>
          <w:sz w:val="20"/>
          <w:szCs w:val="20"/>
        </w:rPr>
        <w:t xml:space="preserve"> are disparate from</w:t>
      </w:r>
      <w:r w:rsidRPr="00403D9E">
        <w:rPr>
          <w:sz w:val="20"/>
          <w:szCs w:val="20"/>
        </w:rPr>
        <w:t xml:space="preserve"> other </w:t>
      </w:r>
      <w:r w:rsidR="002E6B8C" w:rsidRPr="00403D9E">
        <w:rPr>
          <w:sz w:val="20"/>
          <w:szCs w:val="20"/>
        </w:rPr>
        <w:t>oral hypoglycemic</w:t>
      </w:r>
      <w:r w:rsidRPr="00403D9E">
        <w:rPr>
          <w:sz w:val="20"/>
          <w:szCs w:val="20"/>
        </w:rPr>
        <w:t xml:space="preserve"> medications. </w:t>
      </w:r>
      <w:r w:rsidR="002E6B8C" w:rsidRPr="00403D9E">
        <w:rPr>
          <w:sz w:val="20"/>
          <w:szCs w:val="20"/>
        </w:rPr>
        <w:t xml:space="preserve">Clinicians should maintain a </w:t>
      </w:r>
      <w:r w:rsidRPr="00403D9E">
        <w:rPr>
          <w:sz w:val="20"/>
          <w:szCs w:val="20"/>
        </w:rPr>
        <w:t>high index of suspicion in patients who present with either euglycemia or hyperglycemia, significant glucosuria, abdominal pain associated with pancreatitis, as well as those that appear refractory to traditional management of DKA with intravenous fluids and insulin.</w:t>
      </w:r>
      <w:r w:rsidR="002E6B8C" w:rsidRPr="00403D9E">
        <w:rPr>
          <w:sz w:val="20"/>
          <w:szCs w:val="20"/>
        </w:rPr>
        <w:t xml:space="preserve"> P</w:t>
      </w:r>
      <w:r w:rsidRPr="00403D9E">
        <w:rPr>
          <w:sz w:val="20"/>
          <w:szCs w:val="20"/>
        </w:rPr>
        <w:t xml:space="preserve">atients being treated for SGLT-2 induced DKA </w:t>
      </w:r>
      <w:r w:rsidR="002E6B8C" w:rsidRPr="00403D9E">
        <w:rPr>
          <w:sz w:val="20"/>
          <w:szCs w:val="20"/>
        </w:rPr>
        <w:t>typically</w:t>
      </w:r>
      <w:r w:rsidRPr="00403D9E">
        <w:rPr>
          <w:sz w:val="20"/>
          <w:szCs w:val="20"/>
        </w:rPr>
        <w:t xml:space="preserve"> have a prolonged course prior to being able to be weaned </w:t>
      </w:r>
      <w:proofErr w:type="gramStart"/>
      <w:r w:rsidRPr="00403D9E">
        <w:rPr>
          <w:sz w:val="20"/>
          <w:szCs w:val="20"/>
        </w:rPr>
        <w:t>off</w:t>
      </w:r>
      <w:r w:rsidR="00C068EC" w:rsidRPr="00403D9E">
        <w:rPr>
          <w:sz w:val="20"/>
          <w:szCs w:val="20"/>
        </w:rPr>
        <w:t xml:space="preserve"> of</w:t>
      </w:r>
      <w:proofErr w:type="gramEnd"/>
      <w:r w:rsidRPr="00403D9E">
        <w:rPr>
          <w:sz w:val="20"/>
          <w:szCs w:val="20"/>
        </w:rPr>
        <w:t xml:space="preserve"> an insulin infusion. Serial serum acetone levels, beta-hydroxybutyrate levels, urinary ketones and glucose </w:t>
      </w:r>
      <w:proofErr w:type="gramStart"/>
      <w:r w:rsidRPr="00403D9E">
        <w:rPr>
          <w:sz w:val="20"/>
          <w:szCs w:val="20"/>
        </w:rPr>
        <w:t>should be monitored</w:t>
      </w:r>
      <w:proofErr w:type="gramEnd"/>
      <w:r w:rsidRPr="00403D9E">
        <w:rPr>
          <w:sz w:val="20"/>
          <w:szCs w:val="20"/>
        </w:rPr>
        <w:t xml:space="preserve"> prior to transitioning from an intravenous insulin infusion. Failure to recognize complications associated with SGLT-2 inhibitors can lead to increased mortality, prolonged hospital length of stay, </w:t>
      </w:r>
      <w:r w:rsidR="000F7F80" w:rsidRPr="00403D9E">
        <w:rPr>
          <w:sz w:val="20"/>
          <w:szCs w:val="20"/>
        </w:rPr>
        <w:t>and</w:t>
      </w:r>
      <w:r w:rsidRPr="00403D9E">
        <w:rPr>
          <w:sz w:val="20"/>
          <w:szCs w:val="20"/>
        </w:rPr>
        <w:t xml:space="preserve"> increased costs. </w:t>
      </w:r>
    </w:p>
    <w:p w14:paraId="7AD27D88" w14:textId="77777777" w:rsidR="00A20533" w:rsidRPr="00403D9E" w:rsidRDefault="00A20533" w:rsidP="00403D9E">
      <w:pPr>
        <w:contextualSpacing/>
        <w:mirrorIndents/>
        <w:jc w:val="both"/>
        <w:rPr>
          <w:sz w:val="20"/>
          <w:szCs w:val="20"/>
        </w:rPr>
      </w:pPr>
    </w:p>
    <w:p w14:paraId="43989CAC" w14:textId="023B99CA" w:rsidR="00211916" w:rsidRPr="008F772D" w:rsidRDefault="00211916" w:rsidP="008F772D">
      <w:pPr>
        <w:contextualSpacing/>
        <w:mirrorIndents/>
        <w:jc w:val="center"/>
        <w:rPr>
          <w:b/>
          <w:sz w:val="22"/>
          <w:szCs w:val="22"/>
        </w:rPr>
      </w:pPr>
      <w:r w:rsidRPr="008F772D">
        <w:rPr>
          <w:b/>
          <w:sz w:val="22"/>
          <w:szCs w:val="22"/>
        </w:rPr>
        <w:t>References</w:t>
      </w:r>
    </w:p>
    <w:p w14:paraId="438782C5" w14:textId="77777777" w:rsidR="007C15BF" w:rsidRPr="00403D9E" w:rsidRDefault="007C15BF" w:rsidP="00403D9E">
      <w:pPr>
        <w:contextualSpacing/>
        <w:mirrorIndents/>
        <w:jc w:val="both"/>
        <w:rPr>
          <w:sz w:val="20"/>
          <w:szCs w:val="20"/>
        </w:rPr>
      </w:pPr>
    </w:p>
    <w:p w14:paraId="59FD419F" w14:textId="4849FAA2" w:rsidR="00205DE0" w:rsidRPr="00596DA5" w:rsidRDefault="00470157" w:rsidP="00596DA5">
      <w:pPr>
        <w:pStyle w:val="ListParagraph"/>
        <w:numPr>
          <w:ilvl w:val="0"/>
          <w:numId w:val="4"/>
        </w:numPr>
        <w:mirrorIndents/>
        <w:jc w:val="both"/>
        <w:rPr>
          <w:rFonts w:ascii="Times New Roman" w:hAnsi="Times New Roman" w:cs="Times New Roman"/>
          <w:sz w:val="20"/>
          <w:szCs w:val="20"/>
        </w:rPr>
      </w:pPr>
      <w:hyperlink r:id="rId9" w:history="1">
        <w:r w:rsidR="00205DE0" w:rsidRPr="00596DA5">
          <w:rPr>
            <w:rStyle w:val="Hyperlink"/>
            <w:rFonts w:ascii="Times New Roman" w:hAnsi="Times New Roman" w:cs="Times New Roman"/>
            <w:sz w:val="20"/>
            <w:szCs w:val="20"/>
            <w:u w:val="none"/>
          </w:rPr>
          <w:t xml:space="preserve">Sujanani SM, Elfishawi MM, Zarghamravanbaksh P, </w:t>
        </w:r>
        <w:r w:rsidR="00305AA4" w:rsidRPr="00596DA5">
          <w:rPr>
            <w:rStyle w:val="Hyperlink"/>
            <w:rFonts w:ascii="Times New Roman" w:hAnsi="Times New Roman" w:cs="Times New Roman"/>
            <w:sz w:val="20"/>
            <w:szCs w:val="20"/>
            <w:u w:val="none"/>
          </w:rPr>
          <w:t>et al</w:t>
        </w:r>
        <w:r w:rsidR="00205DE0" w:rsidRPr="00596DA5">
          <w:rPr>
            <w:rStyle w:val="Hyperlink"/>
            <w:rFonts w:ascii="Times New Roman" w:hAnsi="Times New Roman" w:cs="Times New Roman"/>
            <w:sz w:val="20"/>
            <w:szCs w:val="20"/>
            <w:u w:val="none"/>
          </w:rPr>
          <w:t>.</w:t>
        </w:r>
        <w:r w:rsidR="003F287F" w:rsidRPr="00596DA5">
          <w:rPr>
            <w:rStyle w:val="Hyperlink"/>
            <w:rFonts w:ascii="Times New Roman" w:hAnsi="Times New Roman" w:cs="Times New Roman"/>
            <w:sz w:val="20"/>
            <w:szCs w:val="20"/>
            <w:u w:val="none"/>
          </w:rPr>
          <w:t xml:space="preserve"> (2020)</w:t>
        </w:r>
        <w:r w:rsidR="00205DE0" w:rsidRPr="00596DA5">
          <w:rPr>
            <w:rStyle w:val="Hyperlink"/>
            <w:rFonts w:ascii="Times New Roman" w:hAnsi="Times New Roman" w:cs="Times New Roman"/>
            <w:sz w:val="20"/>
            <w:szCs w:val="20"/>
            <w:u w:val="none"/>
          </w:rPr>
          <w:t xml:space="preserve"> Dapagliflozin-Induced Acute Pancreatitis: A Case Report and Review of Literature. </w:t>
        </w:r>
        <w:r w:rsidR="00205DE0" w:rsidRPr="00596DA5">
          <w:rPr>
            <w:rStyle w:val="Hyperlink"/>
            <w:rFonts w:ascii="Times New Roman" w:hAnsi="Times New Roman" w:cs="Times New Roman"/>
            <w:iCs/>
            <w:sz w:val="20"/>
            <w:szCs w:val="20"/>
            <w:u w:val="none"/>
          </w:rPr>
          <w:t>Case Reports in Endocrinology</w:t>
        </w:r>
        <w:r w:rsidR="00205DE0" w:rsidRPr="00596DA5">
          <w:rPr>
            <w:rStyle w:val="Hyperlink"/>
            <w:rFonts w:ascii="Times New Roman" w:hAnsi="Times New Roman" w:cs="Times New Roman"/>
            <w:sz w:val="20"/>
            <w:szCs w:val="20"/>
            <w:u w:val="none"/>
          </w:rPr>
          <w:t>.</w:t>
        </w:r>
      </w:hyperlink>
    </w:p>
    <w:p w14:paraId="0836506A" w14:textId="5DB55CDF" w:rsidR="00205DE0" w:rsidRPr="00596DA5" w:rsidRDefault="00470157" w:rsidP="00596DA5">
      <w:pPr>
        <w:pStyle w:val="ListParagraph"/>
        <w:numPr>
          <w:ilvl w:val="0"/>
          <w:numId w:val="4"/>
        </w:numPr>
        <w:mirrorIndents/>
        <w:jc w:val="both"/>
        <w:rPr>
          <w:rFonts w:ascii="Times New Roman" w:hAnsi="Times New Roman" w:cs="Times New Roman"/>
          <w:sz w:val="20"/>
          <w:szCs w:val="20"/>
        </w:rPr>
      </w:pPr>
      <w:hyperlink r:id="rId10" w:history="1">
        <w:r w:rsidR="00205DE0" w:rsidRPr="00596DA5">
          <w:rPr>
            <w:rStyle w:val="Hyperlink"/>
            <w:rFonts w:ascii="Times New Roman" w:hAnsi="Times New Roman" w:cs="Times New Roman"/>
            <w:sz w:val="20"/>
            <w:szCs w:val="20"/>
            <w:u w:val="none"/>
          </w:rPr>
          <w:t>Packer M,</w:t>
        </w:r>
        <w:r w:rsidR="00D37C41" w:rsidRPr="00596DA5">
          <w:rPr>
            <w:rStyle w:val="Hyperlink"/>
            <w:rFonts w:ascii="Times New Roman" w:hAnsi="Times New Roman" w:cs="Times New Roman"/>
            <w:sz w:val="20"/>
            <w:szCs w:val="20"/>
            <w:u w:val="none"/>
          </w:rPr>
          <w:t xml:space="preserve"> Stefan D, Anker, MD,</w:t>
        </w:r>
        <w:r w:rsidR="00205DE0" w:rsidRPr="00596DA5">
          <w:rPr>
            <w:rStyle w:val="Hyperlink"/>
            <w:rFonts w:ascii="Times New Roman" w:hAnsi="Times New Roman" w:cs="Times New Roman"/>
            <w:sz w:val="20"/>
            <w:szCs w:val="20"/>
            <w:u w:val="none"/>
          </w:rPr>
          <w:t xml:space="preserve"> et al.</w:t>
        </w:r>
        <w:r w:rsidR="00D37C41" w:rsidRPr="00596DA5">
          <w:rPr>
            <w:rStyle w:val="Hyperlink"/>
            <w:rFonts w:ascii="Times New Roman" w:hAnsi="Times New Roman" w:cs="Times New Roman"/>
            <w:sz w:val="20"/>
            <w:szCs w:val="20"/>
            <w:u w:val="none"/>
          </w:rPr>
          <w:t xml:space="preserve"> (2020)</w:t>
        </w:r>
        <w:r w:rsidR="00205DE0" w:rsidRPr="00596DA5">
          <w:rPr>
            <w:rStyle w:val="Hyperlink"/>
            <w:rFonts w:ascii="Times New Roman" w:hAnsi="Times New Roman" w:cs="Times New Roman"/>
            <w:sz w:val="20"/>
            <w:szCs w:val="20"/>
            <w:u w:val="none"/>
          </w:rPr>
          <w:t xml:space="preserve"> Cardiovascular and Renal Outcomes with Empagliflozin in Heart Failure. </w:t>
        </w:r>
        <w:r w:rsidR="00205DE0" w:rsidRPr="00596DA5">
          <w:rPr>
            <w:rStyle w:val="Hyperlink"/>
            <w:rFonts w:ascii="Times New Roman" w:hAnsi="Times New Roman" w:cs="Times New Roman"/>
            <w:iCs/>
            <w:sz w:val="20"/>
            <w:szCs w:val="20"/>
            <w:u w:val="none"/>
          </w:rPr>
          <w:t>New England Journal of Medicine</w:t>
        </w:r>
        <w:r w:rsidR="00205DE0" w:rsidRPr="00596DA5">
          <w:rPr>
            <w:rStyle w:val="Hyperlink"/>
            <w:rFonts w:ascii="Times New Roman" w:hAnsi="Times New Roman" w:cs="Times New Roman"/>
            <w:sz w:val="20"/>
            <w:szCs w:val="20"/>
            <w:u w:val="none"/>
          </w:rPr>
          <w:t xml:space="preserve"> </w:t>
        </w:r>
        <w:r w:rsidR="00205DE0" w:rsidRPr="00596DA5">
          <w:rPr>
            <w:rStyle w:val="Hyperlink"/>
            <w:rFonts w:ascii="Times New Roman" w:hAnsi="Times New Roman" w:cs="Times New Roman"/>
            <w:sz w:val="20"/>
            <w:szCs w:val="20"/>
            <w:u w:val="none"/>
            <w:shd w:val="clear" w:color="auto" w:fill="FFFFFF"/>
          </w:rPr>
          <w:t>383:</w:t>
        </w:r>
        <w:r w:rsidR="00D37C41" w:rsidRPr="00596DA5">
          <w:rPr>
            <w:rStyle w:val="Hyperlink"/>
            <w:rFonts w:ascii="Times New Roman" w:hAnsi="Times New Roman" w:cs="Times New Roman"/>
            <w:sz w:val="20"/>
            <w:szCs w:val="20"/>
            <w:u w:val="none"/>
            <w:shd w:val="clear" w:color="auto" w:fill="FFFFFF"/>
          </w:rPr>
          <w:t xml:space="preserve"> </w:t>
        </w:r>
        <w:r w:rsidR="00205DE0" w:rsidRPr="00596DA5">
          <w:rPr>
            <w:rStyle w:val="Hyperlink"/>
            <w:rFonts w:ascii="Times New Roman" w:hAnsi="Times New Roman" w:cs="Times New Roman"/>
            <w:sz w:val="20"/>
            <w:szCs w:val="20"/>
            <w:u w:val="none"/>
            <w:shd w:val="clear" w:color="auto" w:fill="FFFFFF"/>
          </w:rPr>
          <w:t>1413-1424</w:t>
        </w:r>
      </w:hyperlink>
      <w:r w:rsidR="00C61B02" w:rsidRPr="00596DA5">
        <w:rPr>
          <w:rStyle w:val="Hyperlink"/>
          <w:rFonts w:ascii="Times New Roman" w:hAnsi="Times New Roman" w:cs="Times New Roman"/>
          <w:sz w:val="20"/>
          <w:szCs w:val="20"/>
          <w:u w:val="none"/>
          <w:shd w:val="clear" w:color="auto" w:fill="FFFFFF"/>
        </w:rPr>
        <w:t>.</w:t>
      </w:r>
    </w:p>
    <w:p w14:paraId="027708DC" w14:textId="77929ECF" w:rsidR="00205DE0" w:rsidRPr="00596DA5" w:rsidRDefault="00470157" w:rsidP="00596DA5">
      <w:pPr>
        <w:pStyle w:val="ListParagraph"/>
        <w:numPr>
          <w:ilvl w:val="0"/>
          <w:numId w:val="4"/>
        </w:numPr>
        <w:mirrorIndents/>
        <w:jc w:val="both"/>
        <w:rPr>
          <w:rFonts w:ascii="Times New Roman" w:hAnsi="Times New Roman" w:cs="Times New Roman"/>
          <w:sz w:val="20"/>
          <w:szCs w:val="20"/>
        </w:rPr>
      </w:pPr>
      <w:hyperlink r:id="rId11" w:history="1">
        <w:r w:rsidR="00205DE0" w:rsidRPr="00596DA5">
          <w:rPr>
            <w:rStyle w:val="Hyperlink"/>
            <w:rFonts w:ascii="Times New Roman" w:hAnsi="Times New Roman" w:cs="Times New Roman"/>
            <w:sz w:val="20"/>
            <w:szCs w:val="20"/>
            <w:u w:val="none"/>
          </w:rPr>
          <w:t>Anker S</w:t>
        </w:r>
        <w:r w:rsidR="005C6FDA" w:rsidRPr="00596DA5">
          <w:rPr>
            <w:rStyle w:val="Hyperlink"/>
            <w:rFonts w:ascii="Times New Roman" w:hAnsi="Times New Roman" w:cs="Times New Roman"/>
            <w:sz w:val="20"/>
            <w:szCs w:val="20"/>
            <w:u w:val="none"/>
          </w:rPr>
          <w:t>D</w:t>
        </w:r>
        <w:r w:rsidR="00205DE0" w:rsidRPr="00596DA5">
          <w:rPr>
            <w:rStyle w:val="Hyperlink"/>
            <w:rFonts w:ascii="Times New Roman" w:hAnsi="Times New Roman" w:cs="Times New Roman"/>
            <w:sz w:val="20"/>
            <w:szCs w:val="20"/>
            <w:u w:val="none"/>
          </w:rPr>
          <w:t>,</w:t>
        </w:r>
        <w:r w:rsidR="005C6FDA" w:rsidRPr="00596DA5">
          <w:rPr>
            <w:rStyle w:val="Hyperlink"/>
            <w:rFonts w:ascii="Times New Roman" w:hAnsi="Times New Roman" w:cs="Times New Roman"/>
            <w:sz w:val="20"/>
            <w:szCs w:val="20"/>
            <w:u w:val="none"/>
          </w:rPr>
          <w:t xml:space="preserve"> Butler J, Filippatos G</w:t>
        </w:r>
        <w:r w:rsidR="001774EB" w:rsidRPr="00596DA5">
          <w:rPr>
            <w:rStyle w:val="Hyperlink"/>
            <w:rFonts w:ascii="Times New Roman" w:hAnsi="Times New Roman" w:cs="Times New Roman"/>
            <w:sz w:val="20"/>
            <w:szCs w:val="20"/>
            <w:u w:val="none"/>
          </w:rPr>
          <w:t xml:space="preserve">, </w:t>
        </w:r>
        <w:r w:rsidR="00205DE0" w:rsidRPr="00596DA5">
          <w:rPr>
            <w:rStyle w:val="Hyperlink"/>
            <w:rFonts w:ascii="Times New Roman" w:hAnsi="Times New Roman" w:cs="Times New Roman"/>
            <w:sz w:val="20"/>
            <w:szCs w:val="20"/>
            <w:u w:val="none"/>
          </w:rPr>
          <w:t>et al.</w:t>
        </w:r>
        <w:r w:rsidR="001A3068" w:rsidRPr="00596DA5">
          <w:rPr>
            <w:rStyle w:val="Hyperlink"/>
            <w:rFonts w:ascii="Times New Roman" w:hAnsi="Times New Roman" w:cs="Times New Roman"/>
            <w:sz w:val="20"/>
            <w:szCs w:val="20"/>
            <w:u w:val="none"/>
          </w:rPr>
          <w:t xml:space="preserve"> (2021)</w:t>
        </w:r>
        <w:r w:rsidR="00205DE0" w:rsidRPr="00596DA5">
          <w:rPr>
            <w:rStyle w:val="Hyperlink"/>
            <w:rFonts w:ascii="Times New Roman" w:hAnsi="Times New Roman" w:cs="Times New Roman"/>
            <w:sz w:val="20"/>
            <w:szCs w:val="20"/>
            <w:u w:val="none"/>
          </w:rPr>
          <w:t xml:space="preserve"> Empagliflozin in Heart Failure with a Preserved Ejection Fraction. </w:t>
        </w:r>
        <w:r w:rsidR="00205DE0" w:rsidRPr="00596DA5">
          <w:rPr>
            <w:rStyle w:val="Hyperlink"/>
            <w:rFonts w:ascii="Times New Roman" w:hAnsi="Times New Roman" w:cs="Times New Roman"/>
            <w:iCs/>
            <w:sz w:val="20"/>
            <w:szCs w:val="20"/>
            <w:u w:val="none"/>
          </w:rPr>
          <w:t>New England Journal of Medicine</w:t>
        </w:r>
        <w:r w:rsidR="00205DE0" w:rsidRPr="00596DA5">
          <w:rPr>
            <w:rStyle w:val="Hyperlink"/>
            <w:rFonts w:ascii="Times New Roman" w:hAnsi="Times New Roman" w:cs="Times New Roman"/>
            <w:sz w:val="20"/>
            <w:szCs w:val="20"/>
            <w:u w:val="none"/>
          </w:rPr>
          <w:t xml:space="preserve"> </w:t>
        </w:r>
        <w:r w:rsidR="00205DE0" w:rsidRPr="00596DA5">
          <w:rPr>
            <w:rStyle w:val="Hyperlink"/>
            <w:rFonts w:ascii="Times New Roman" w:hAnsi="Times New Roman" w:cs="Times New Roman"/>
            <w:sz w:val="20"/>
            <w:szCs w:val="20"/>
            <w:u w:val="none"/>
            <w:shd w:val="clear" w:color="auto" w:fill="FFFFFF"/>
          </w:rPr>
          <w:t>385:</w:t>
        </w:r>
        <w:r w:rsidR="005D727F" w:rsidRPr="00596DA5">
          <w:rPr>
            <w:rStyle w:val="Hyperlink"/>
            <w:rFonts w:ascii="Times New Roman" w:hAnsi="Times New Roman" w:cs="Times New Roman"/>
            <w:sz w:val="20"/>
            <w:szCs w:val="20"/>
            <w:u w:val="none"/>
            <w:shd w:val="clear" w:color="auto" w:fill="FFFFFF"/>
          </w:rPr>
          <w:t xml:space="preserve"> </w:t>
        </w:r>
        <w:r w:rsidR="00205DE0" w:rsidRPr="00596DA5">
          <w:rPr>
            <w:rStyle w:val="Hyperlink"/>
            <w:rFonts w:ascii="Times New Roman" w:hAnsi="Times New Roman" w:cs="Times New Roman"/>
            <w:sz w:val="20"/>
            <w:szCs w:val="20"/>
            <w:u w:val="none"/>
            <w:shd w:val="clear" w:color="auto" w:fill="FFFFFF"/>
          </w:rPr>
          <w:t>1451-1461</w:t>
        </w:r>
      </w:hyperlink>
      <w:r w:rsidR="00D0254D" w:rsidRPr="00596DA5">
        <w:rPr>
          <w:rStyle w:val="Hyperlink"/>
          <w:rFonts w:ascii="Times New Roman" w:hAnsi="Times New Roman" w:cs="Times New Roman"/>
          <w:sz w:val="20"/>
          <w:szCs w:val="20"/>
          <w:u w:val="none"/>
          <w:shd w:val="clear" w:color="auto" w:fill="FFFFFF"/>
        </w:rPr>
        <w:t>.</w:t>
      </w:r>
    </w:p>
    <w:p w14:paraId="31D6F755" w14:textId="02B3A197" w:rsidR="00205DE0" w:rsidRPr="00596DA5" w:rsidRDefault="00470157" w:rsidP="00596DA5">
      <w:pPr>
        <w:pStyle w:val="ListParagraph"/>
        <w:numPr>
          <w:ilvl w:val="0"/>
          <w:numId w:val="4"/>
        </w:numPr>
        <w:mirrorIndents/>
        <w:jc w:val="both"/>
        <w:rPr>
          <w:rFonts w:ascii="Times New Roman" w:hAnsi="Times New Roman" w:cs="Times New Roman"/>
          <w:sz w:val="20"/>
          <w:szCs w:val="20"/>
        </w:rPr>
      </w:pPr>
      <w:hyperlink r:id="rId12" w:history="1">
        <w:r w:rsidR="00205DE0" w:rsidRPr="00596DA5">
          <w:rPr>
            <w:rStyle w:val="Hyperlink"/>
            <w:rFonts w:ascii="Times New Roman" w:hAnsi="Times New Roman" w:cs="Times New Roman"/>
            <w:sz w:val="20"/>
            <w:szCs w:val="20"/>
            <w:u w:val="none"/>
          </w:rPr>
          <w:t>Perkovic V,</w:t>
        </w:r>
        <w:r w:rsidR="000C4F1B" w:rsidRPr="00596DA5">
          <w:rPr>
            <w:rStyle w:val="Hyperlink"/>
            <w:rFonts w:ascii="Times New Roman" w:hAnsi="Times New Roman" w:cs="Times New Roman"/>
            <w:sz w:val="20"/>
            <w:szCs w:val="20"/>
            <w:u w:val="none"/>
          </w:rPr>
          <w:t xml:space="preserve"> Jardine MJ</w:t>
        </w:r>
        <w:r w:rsidR="0061267E" w:rsidRPr="00596DA5">
          <w:rPr>
            <w:rStyle w:val="Hyperlink"/>
            <w:rFonts w:ascii="Times New Roman" w:hAnsi="Times New Roman" w:cs="Times New Roman"/>
            <w:sz w:val="20"/>
            <w:szCs w:val="20"/>
            <w:u w:val="none"/>
          </w:rPr>
          <w:t>, Neal B,</w:t>
        </w:r>
        <w:r w:rsidR="00205DE0" w:rsidRPr="00596DA5">
          <w:rPr>
            <w:rStyle w:val="Hyperlink"/>
            <w:rFonts w:ascii="Times New Roman" w:hAnsi="Times New Roman" w:cs="Times New Roman"/>
            <w:sz w:val="20"/>
            <w:szCs w:val="20"/>
            <w:u w:val="none"/>
          </w:rPr>
          <w:t xml:space="preserve"> et al.</w:t>
        </w:r>
        <w:r w:rsidR="00EC5090" w:rsidRPr="00596DA5">
          <w:rPr>
            <w:rStyle w:val="Hyperlink"/>
            <w:rFonts w:ascii="Times New Roman" w:hAnsi="Times New Roman" w:cs="Times New Roman"/>
            <w:sz w:val="20"/>
            <w:szCs w:val="20"/>
            <w:u w:val="none"/>
          </w:rPr>
          <w:t xml:space="preserve"> (</w:t>
        </w:r>
        <w:r w:rsidR="000C4F1B" w:rsidRPr="00596DA5">
          <w:rPr>
            <w:rStyle w:val="Hyperlink"/>
            <w:rFonts w:ascii="Times New Roman" w:hAnsi="Times New Roman" w:cs="Times New Roman"/>
            <w:sz w:val="20"/>
            <w:szCs w:val="20"/>
            <w:u w:val="none"/>
          </w:rPr>
          <w:t>2019</w:t>
        </w:r>
        <w:r w:rsidR="00EC5090" w:rsidRPr="00596DA5">
          <w:rPr>
            <w:rStyle w:val="Hyperlink"/>
            <w:rFonts w:ascii="Times New Roman" w:hAnsi="Times New Roman" w:cs="Times New Roman"/>
            <w:sz w:val="20"/>
            <w:szCs w:val="20"/>
            <w:u w:val="none"/>
          </w:rPr>
          <w:t>)</w:t>
        </w:r>
        <w:r w:rsidR="00205DE0" w:rsidRPr="00596DA5">
          <w:rPr>
            <w:rStyle w:val="Hyperlink"/>
            <w:rFonts w:ascii="Times New Roman" w:hAnsi="Times New Roman" w:cs="Times New Roman"/>
            <w:sz w:val="20"/>
            <w:szCs w:val="20"/>
            <w:u w:val="none"/>
          </w:rPr>
          <w:t xml:space="preserve"> Canagliflozin and Renal Outcomes in Type 2 Diabetes and Nephropathy. </w:t>
        </w:r>
        <w:r w:rsidR="00205DE0" w:rsidRPr="00596DA5">
          <w:rPr>
            <w:rStyle w:val="Hyperlink"/>
            <w:rFonts w:ascii="Times New Roman" w:hAnsi="Times New Roman" w:cs="Times New Roman"/>
            <w:iCs/>
            <w:sz w:val="20"/>
            <w:szCs w:val="20"/>
            <w:u w:val="none"/>
          </w:rPr>
          <w:t>New England Journal of Medicine</w:t>
        </w:r>
        <w:r w:rsidR="00205DE0" w:rsidRPr="00596DA5">
          <w:rPr>
            <w:rStyle w:val="Hyperlink"/>
            <w:rFonts w:ascii="Times New Roman" w:hAnsi="Times New Roman" w:cs="Times New Roman"/>
            <w:sz w:val="20"/>
            <w:szCs w:val="20"/>
            <w:u w:val="none"/>
          </w:rPr>
          <w:t xml:space="preserve"> </w:t>
        </w:r>
        <w:r w:rsidR="00205DE0" w:rsidRPr="00596DA5">
          <w:rPr>
            <w:rStyle w:val="Hyperlink"/>
            <w:rFonts w:ascii="Times New Roman" w:hAnsi="Times New Roman" w:cs="Times New Roman"/>
            <w:sz w:val="20"/>
            <w:szCs w:val="20"/>
            <w:u w:val="none"/>
            <w:shd w:val="clear" w:color="auto" w:fill="FFFFFF"/>
          </w:rPr>
          <w:t>380:</w:t>
        </w:r>
        <w:r w:rsidR="00EC5090" w:rsidRPr="00596DA5">
          <w:rPr>
            <w:rStyle w:val="Hyperlink"/>
            <w:rFonts w:ascii="Times New Roman" w:hAnsi="Times New Roman" w:cs="Times New Roman"/>
            <w:sz w:val="20"/>
            <w:szCs w:val="20"/>
            <w:u w:val="none"/>
            <w:shd w:val="clear" w:color="auto" w:fill="FFFFFF"/>
          </w:rPr>
          <w:t xml:space="preserve"> </w:t>
        </w:r>
        <w:r w:rsidR="00205DE0" w:rsidRPr="00596DA5">
          <w:rPr>
            <w:rStyle w:val="Hyperlink"/>
            <w:rFonts w:ascii="Times New Roman" w:hAnsi="Times New Roman" w:cs="Times New Roman"/>
            <w:sz w:val="20"/>
            <w:szCs w:val="20"/>
            <w:u w:val="none"/>
            <w:shd w:val="clear" w:color="auto" w:fill="FFFFFF"/>
          </w:rPr>
          <w:t>2295-2306</w:t>
        </w:r>
      </w:hyperlink>
      <w:r w:rsidR="00D0254D" w:rsidRPr="00596DA5">
        <w:rPr>
          <w:rStyle w:val="Hyperlink"/>
          <w:rFonts w:ascii="Times New Roman" w:hAnsi="Times New Roman" w:cs="Times New Roman"/>
          <w:sz w:val="20"/>
          <w:szCs w:val="20"/>
          <w:u w:val="none"/>
          <w:shd w:val="clear" w:color="auto" w:fill="FFFFFF"/>
        </w:rPr>
        <w:t>.</w:t>
      </w:r>
    </w:p>
    <w:p w14:paraId="4915E854" w14:textId="1036A81A" w:rsidR="00205DE0" w:rsidRPr="00596DA5" w:rsidRDefault="00470157" w:rsidP="00596DA5">
      <w:pPr>
        <w:pStyle w:val="ListParagraph"/>
        <w:numPr>
          <w:ilvl w:val="0"/>
          <w:numId w:val="4"/>
        </w:numPr>
        <w:mirrorIndents/>
        <w:jc w:val="both"/>
        <w:rPr>
          <w:rFonts w:ascii="Times New Roman" w:hAnsi="Times New Roman" w:cs="Times New Roman"/>
          <w:sz w:val="20"/>
          <w:szCs w:val="20"/>
        </w:rPr>
      </w:pPr>
      <w:hyperlink r:id="rId13" w:history="1">
        <w:r w:rsidR="0051283E" w:rsidRPr="00596DA5">
          <w:rPr>
            <w:rStyle w:val="Hyperlink"/>
            <w:rFonts w:ascii="Times New Roman" w:hAnsi="Times New Roman" w:cs="Times New Roman"/>
            <w:sz w:val="20"/>
            <w:szCs w:val="20"/>
            <w:u w:val="none"/>
          </w:rPr>
          <w:t>Ogawa W, Sakaguchi K</w:t>
        </w:r>
        <w:r w:rsidR="00DF6715" w:rsidRPr="00596DA5">
          <w:rPr>
            <w:rStyle w:val="Hyperlink"/>
            <w:rFonts w:ascii="Times New Roman" w:hAnsi="Times New Roman" w:cs="Times New Roman"/>
            <w:sz w:val="20"/>
            <w:szCs w:val="20"/>
            <w:u w:val="none"/>
          </w:rPr>
          <w:t xml:space="preserve"> (2016)</w:t>
        </w:r>
        <w:r w:rsidR="00205DE0" w:rsidRPr="00596DA5">
          <w:rPr>
            <w:rStyle w:val="Hyperlink"/>
            <w:rFonts w:ascii="Times New Roman" w:hAnsi="Times New Roman" w:cs="Times New Roman"/>
            <w:sz w:val="20"/>
            <w:szCs w:val="20"/>
            <w:u w:val="none"/>
          </w:rPr>
          <w:t xml:space="preserve"> Euglycemic diabetic ketoacidosis induced by SGLT2 inhibitors: possible mechanism and contributing factors. </w:t>
        </w:r>
        <w:r w:rsidR="00205DE0" w:rsidRPr="00596DA5">
          <w:rPr>
            <w:rStyle w:val="Hyperlink"/>
            <w:rFonts w:ascii="Times New Roman" w:hAnsi="Times New Roman" w:cs="Times New Roman"/>
            <w:iCs/>
            <w:sz w:val="20"/>
            <w:szCs w:val="20"/>
            <w:u w:val="none"/>
          </w:rPr>
          <w:t>Journal of Diabetes Investigation</w:t>
        </w:r>
        <w:r w:rsidR="00205DE0" w:rsidRPr="00596DA5">
          <w:rPr>
            <w:rStyle w:val="Hyperlink"/>
            <w:rFonts w:ascii="Times New Roman" w:hAnsi="Times New Roman" w:cs="Times New Roman"/>
            <w:sz w:val="20"/>
            <w:szCs w:val="20"/>
            <w:u w:val="none"/>
          </w:rPr>
          <w:t xml:space="preserve"> </w:t>
        </w:r>
        <w:r w:rsidR="0051283E" w:rsidRPr="00596DA5">
          <w:rPr>
            <w:rStyle w:val="Hyperlink"/>
            <w:rFonts w:ascii="Times New Roman" w:hAnsi="Times New Roman" w:cs="Times New Roman"/>
            <w:sz w:val="20"/>
            <w:szCs w:val="20"/>
            <w:u w:val="none"/>
            <w:shd w:val="clear" w:color="auto" w:fill="FFFFFF"/>
          </w:rPr>
          <w:t xml:space="preserve">7: </w:t>
        </w:r>
        <w:r w:rsidR="00205DE0" w:rsidRPr="00596DA5">
          <w:rPr>
            <w:rStyle w:val="Hyperlink"/>
            <w:rFonts w:ascii="Times New Roman" w:hAnsi="Times New Roman" w:cs="Times New Roman"/>
            <w:sz w:val="20"/>
            <w:szCs w:val="20"/>
            <w:u w:val="none"/>
            <w:shd w:val="clear" w:color="auto" w:fill="FFFFFF"/>
          </w:rPr>
          <w:t>135-138</w:t>
        </w:r>
      </w:hyperlink>
      <w:r w:rsidR="00D0254D" w:rsidRPr="00596DA5">
        <w:rPr>
          <w:rStyle w:val="Hyperlink"/>
          <w:rFonts w:ascii="Times New Roman" w:hAnsi="Times New Roman" w:cs="Times New Roman"/>
          <w:sz w:val="20"/>
          <w:szCs w:val="20"/>
          <w:u w:val="none"/>
          <w:shd w:val="clear" w:color="auto" w:fill="FFFFFF"/>
        </w:rPr>
        <w:t>.</w:t>
      </w:r>
    </w:p>
    <w:p w14:paraId="13C5E0E5" w14:textId="1BDBA139" w:rsidR="00205DE0" w:rsidRPr="00596DA5" w:rsidRDefault="00470157" w:rsidP="00596DA5">
      <w:pPr>
        <w:pStyle w:val="ListParagraph"/>
        <w:numPr>
          <w:ilvl w:val="0"/>
          <w:numId w:val="4"/>
        </w:numPr>
        <w:mirrorIndents/>
        <w:jc w:val="both"/>
        <w:rPr>
          <w:rFonts w:ascii="Times New Roman" w:hAnsi="Times New Roman" w:cs="Times New Roman"/>
          <w:sz w:val="20"/>
          <w:szCs w:val="20"/>
        </w:rPr>
      </w:pPr>
      <w:hyperlink r:id="rId14" w:history="1">
        <w:r w:rsidR="002C2ECA" w:rsidRPr="00596DA5">
          <w:rPr>
            <w:rStyle w:val="Hyperlink"/>
            <w:rFonts w:ascii="Times New Roman" w:hAnsi="Times New Roman" w:cs="Times New Roman"/>
            <w:sz w:val="20"/>
            <w:szCs w:val="20"/>
            <w:u w:val="none"/>
          </w:rPr>
          <w:t xml:space="preserve">Ata F, Yousaf Z, Khan AA, </w:t>
        </w:r>
        <w:r w:rsidR="00205DE0" w:rsidRPr="00596DA5">
          <w:rPr>
            <w:rStyle w:val="Hyperlink"/>
            <w:rFonts w:ascii="Times New Roman" w:hAnsi="Times New Roman" w:cs="Times New Roman"/>
            <w:sz w:val="20"/>
            <w:szCs w:val="20"/>
            <w:u w:val="none"/>
          </w:rPr>
          <w:t>et al.</w:t>
        </w:r>
        <w:r w:rsidR="00923729" w:rsidRPr="00596DA5">
          <w:rPr>
            <w:rStyle w:val="Hyperlink"/>
            <w:rFonts w:ascii="Times New Roman" w:hAnsi="Times New Roman" w:cs="Times New Roman"/>
            <w:sz w:val="20"/>
            <w:szCs w:val="20"/>
            <w:u w:val="none"/>
          </w:rPr>
          <w:t xml:space="preserve"> (2021)</w:t>
        </w:r>
        <w:r w:rsidR="00205DE0" w:rsidRPr="00596DA5">
          <w:rPr>
            <w:rStyle w:val="Hyperlink"/>
            <w:rFonts w:ascii="Times New Roman" w:hAnsi="Times New Roman" w:cs="Times New Roman"/>
            <w:sz w:val="20"/>
            <w:szCs w:val="20"/>
            <w:u w:val="none"/>
          </w:rPr>
          <w:t xml:space="preserve"> SGLT-2 inhibitors associated euglycemic and hyperglycemic DKA in a multicentric cohort. </w:t>
        </w:r>
        <w:r w:rsidR="00205DE0" w:rsidRPr="00596DA5">
          <w:rPr>
            <w:rStyle w:val="Hyperlink"/>
            <w:rFonts w:ascii="Times New Roman" w:hAnsi="Times New Roman" w:cs="Times New Roman"/>
            <w:iCs/>
            <w:sz w:val="20"/>
            <w:szCs w:val="20"/>
            <w:u w:val="none"/>
          </w:rPr>
          <w:t>Nature Scientific Reports.</w:t>
        </w:r>
      </w:hyperlink>
    </w:p>
    <w:p w14:paraId="2E2E8021" w14:textId="4041C9BC" w:rsidR="00205DE0" w:rsidRPr="00596DA5" w:rsidRDefault="00470157" w:rsidP="00596DA5">
      <w:pPr>
        <w:pStyle w:val="ListParagraph"/>
        <w:numPr>
          <w:ilvl w:val="0"/>
          <w:numId w:val="4"/>
        </w:numPr>
        <w:mirrorIndents/>
        <w:jc w:val="both"/>
        <w:rPr>
          <w:rFonts w:ascii="Times New Roman" w:hAnsi="Times New Roman" w:cs="Times New Roman"/>
          <w:sz w:val="20"/>
          <w:szCs w:val="20"/>
        </w:rPr>
      </w:pPr>
      <w:hyperlink r:id="rId15" w:history="1">
        <w:r w:rsidR="00125F2D" w:rsidRPr="00596DA5">
          <w:rPr>
            <w:rStyle w:val="Hyperlink"/>
            <w:rFonts w:ascii="Times New Roman" w:hAnsi="Times New Roman" w:cs="Times New Roman"/>
            <w:sz w:val="20"/>
            <w:szCs w:val="20"/>
            <w:u w:val="none"/>
          </w:rPr>
          <w:t>Wang KM, Isom RT (2020)</w:t>
        </w:r>
        <w:r w:rsidR="00211916" w:rsidRPr="00596DA5">
          <w:rPr>
            <w:rStyle w:val="Hyperlink"/>
            <w:rFonts w:ascii="Times New Roman" w:hAnsi="Times New Roman" w:cs="Times New Roman"/>
            <w:sz w:val="20"/>
            <w:szCs w:val="20"/>
            <w:u w:val="none"/>
          </w:rPr>
          <w:t xml:space="preserve"> SGLT-2 Inhibitor Induced Euglycemic Diabetic Ketoacidosis: A Case Report. </w:t>
        </w:r>
        <w:r w:rsidR="00211916" w:rsidRPr="00596DA5">
          <w:rPr>
            <w:rStyle w:val="Hyperlink"/>
            <w:rFonts w:ascii="Times New Roman" w:hAnsi="Times New Roman" w:cs="Times New Roman"/>
            <w:iCs/>
            <w:sz w:val="20"/>
            <w:szCs w:val="20"/>
            <w:u w:val="none"/>
          </w:rPr>
          <w:t>Kidney Medicine</w:t>
        </w:r>
        <w:r w:rsidR="00586DF0" w:rsidRPr="00596DA5">
          <w:rPr>
            <w:rStyle w:val="Hyperlink"/>
            <w:rFonts w:ascii="Times New Roman" w:hAnsi="Times New Roman" w:cs="Times New Roman"/>
            <w:sz w:val="20"/>
            <w:szCs w:val="20"/>
            <w:u w:val="none"/>
          </w:rPr>
          <w:t xml:space="preserve"> </w:t>
        </w:r>
        <w:r w:rsidR="00125F2D" w:rsidRPr="00596DA5">
          <w:rPr>
            <w:rStyle w:val="Hyperlink"/>
            <w:rFonts w:ascii="Times New Roman" w:hAnsi="Times New Roman" w:cs="Times New Roman"/>
            <w:sz w:val="20"/>
            <w:szCs w:val="20"/>
            <w:u w:val="none"/>
            <w:shd w:val="clear" w:color="auto" w:fill="FFFFFF"/>
          </w:rPr>
          <w:t>2</w:t>
        </w:r>
        <w:r w:rsidR="00586DF0" w:rsidRPr="00596DA5">
          <w:rPr>
            <w:rStyle w:val="Hyperlink"/>
            <w:rFonts w:ascii="Times New Roman" w:hAnsi="Times New Roman" w:cs="Times New Roman"/>
            <w:sz w:val="20"/>
            <w:szCs w:val="20"/>
            <w:u w:val="none"/>
            <w:shd w:val="clear" w:color="auto" w:fill="FFFFFF"/>
          </w:rPr>
          <w:t>:</w:t>
        </w:r>
        <w:r w:rsidR="00125F2D" w:rsidRPr="00596DA5">
          <w:rPr>
            <w:rStyle w:val="Hyperlink"/>
            <w:rFonts w:ascii="Times New Roman" w:hAnsi="Times New Roman" w:cs="Times New Roman"/>
            <w:sz w:val="20"/>
            <w:szCs w:val="20"/>
            <w:u w:val="none"/>
            <w:shd w:val="clear" w:color="auto" w:fill="FFFFFF"/>
          </w:rPr>
          <w:t xml:space="preserve"> </w:t>
        </w:r>
        <w:r w:rsidR="00586DF0" w:rsidRPr="00596DA5">
          <w:rPr>
            <w:rStyle w:val="Hyperlink"/>
            <w:rFonts w:ascii="Times New Roman" w:hAnsi="Times New Roman" w:cs="Times New Roman"/>
            <w:sz w:val="20"/>
            <w:szCs w:val="20"/>
            <w:u w:val="none"/>
            <w:shd w:val="clear" w:color="auto" w:fill="FFFFFF"/>
          </w:rPr>
          <w:t>218-221</w:t>
        </w:r>
      </w:hyperlink>
      <w:r w:rsidR="00D0254D" w:rsidRPr="00596DA5">
        <w:rPr>
          <w:rStyle w:val="Hyperlink"/>
          <w:rFonts w:ascii="Times New Roman" w:hAnsi="Times New Roman" w:cs="Times New Roman"/>
          <w:sz w:val="20"/>
          <w:szCs w:val="20"/>
          <w:u w:val="none"/>
          <w:shd w:val="clear" w:color="auto" w:fill="FFFFFF"/>
        </w:rPr>
        <w:t>.</w:t>
      </w:r>
    </w:p>
    <w:p w14:paraId="7F2C1BE4" w14:textId="36E50105" w:rsidR="008E4D7F" w:rsidRPr="00596DA5" w:rsidRDefault="00470157" w:rsidP="00596DA5">
      <w:pPr>
        <w:pStyle w:val="ListParagraph"/>
        <w:numPr>
          <w:ilvl w:val="0"/>
          <w:numId w:val="4"/>
        </w:numPr>
        <w:mirrorIndents/>
        <w:jc w:val="both"/>
        <w:rPr>
          <w:rFonts w:ascii="Times New Roman" w:hAnsi="Times New Roman" w:cs="Times New Roman"/>
          <w:sz w:val="20"/>
          <w:szCs w:val="20"/>
        </w:rPr>
      </w:pPr>
      <w:hyperlink r:id="rId16" w:history="1">
        <w:r w:rsidR="00205DE0" w:rsidRPr="00596DA5">
          <w:rPr>
            <w:rStyle w:val="Hyperlink"/>
            <w:rFonts w:ascii="Times New Roman" w:hAnsi="Times New Roman" w:cs="Times New Roman"/>
            <w:sz w:val="20"/>
            <w:szCs w:val="20"/>
            <w:u w:val="none"/>
          </w:rPr>
          <w:t xml:space="preserve">Westcott GP, Segal AR, Mitri J, </w:t>
        </w:r>
        <w:r w:rsidR="00824DE5" w:rsidRPr="00596DA5">
          <w:rPr>
            <w:rStyle w:val="Hyperlink"/>
            <w:rFonts w:ascii="Times New Roman" w:hAnsi="Times New Roman" w:cs="Times New Roman"/>
            <w:sz w:val="20"/>
            <w:szCs w:val="20"/>
            <w:u w:val="none"/>
          </w:rPr>
          <w:t>et al</w:t>
        </w:r>
        <w:r w:rsidR="00205DE0" w:rsidRPr="00596DA5">
          <w:rPr>
            <w:rStyle w:val="Hyperlink"/>
            <w:rFonts w:ascii="Times New Roman" w:hAnsi="Times New Roman" w:cs="Times New Roman"/>
            <w:sz w:val="20"/>
            <w:szCs w:val="20"/>
            <w:u w:val="none"/>
          </w:rPr>
          <w:t>.</w:t>
        </w:r>
        <w:r w:rsidR="00824DE5" w:rsidRPr="00596DA5">
          <w:rPr>
            <w:rStyle w:val="Hyperlink"/>
            <w:rFonts w:ascii="Times New Roman" w:hAnsi="Times New Roman" w:cs="Times New Roman"/>
            <w:sz w:val="20"/>
            <w:szCs w:val="20"/>
            <w:u w:val="none"/>
          </w:rPr>
          <w:t xml:space="preserve"> (2020)</w:t>
        </w:r>
        <w:r w:rsidR="00205DE0" w:rsidRPr="00596DA5">
          <w:rPr>
            <w:rStyle w:val="Hyperlink"/>
            <w:rFonts w:ascii="Times New Roman" w:hAnsi="Times New Roman" w:cs="Times New Roman"/>
            <w:sz w:val="20"/>
            <w:szCs w:val="20"/>
            <w:u w:val="none"/>
          </w:rPr>
          <w:t xml:space="preserve"> Prolonged glucosuria and relapse of diabetic ketoacidosis related to SGLT-2 inhibitor therapy. </w:t>
        </w:r>
        <w:r w:rsidR="00205DE0" w:rsidRPr="00596DA5">
          <w:rPr>
            <w:rStyle w:val="Hyperlink"/>
            <w:rFonts w:ascii="Times New Roman" w:hAnsi="Times New Roman" w:cs="Times New Roman"/>
            <w:iCs/>
            <w:sz w:val="20"/>
            <w:szCs w:val="20"/>
            <w:u w:val="none"/>
          </w:rPr>
          <w:t>Endocrinology, Diabetes &amp; Metabolism</w:t>
        </w:r>
        <w:r w:rsidR="00824DE5" w:rsidRPr="00596DA5">
          <w:rPr>
            <w:rStyle w:val="Hyperlink"/>
            <w:rFonts w:ascii="Times New Roman" w:hAnsi="Times New Roman" w:cs="Times New Roman"/>
            <w:sz w:val="20"/>
            <w:szCs w:val="20"/>
            <w:u w:val="none"/>
          </w:rPr>
          <w:t xml:space="preserve"> 29: e00117</w:t>
        </w:r>
        <w:r w:rsidR="00BE3B72" w:rsidRPr="00596DA5">
          <w:rPr>
            <w:rStyle w:val="Hyperlink"/>
            <w:rFonts w:ascii="Times New Roman" w:hAnsi="Times New Roman" w:cs="Times New Roman"/>
            <w:sz w:val="20"/>
            <w:szCs w:val="20"/>
            <w:u w:val="none"/>
          </w:rPr>
          <w:t>.</w:t>
        </w:r>
      </w:hyperlink>
    </w:p>
    <w:p w14:paraId="1ECE30CD" w14:textId="39B40735" w:rsidR="00211916" w:rsidRPr="00596DA5" w:rsidRDefault="00470157" w:rsidP="00596DA5">
      <w:pPr>
        <w:pStyle w:val="ListParagraph"/>
        <w:numPr>
          <w:ilvl w:val="0"/>
          <w:numId w:val="4"/>
        </w:numPr>
        <w:mirrorIndents/>
        <w:jc w:val="both"/>
        <w:rPr>
          <w:rFonts w:ascii="Times New Roman" w:hAnsi="Times New Roman" w:cs="Times New Roman"/>
          <w:sz w:val="20"/>
          <w:szCs w:val="20"/>
        </w:rPr>
      </w:pPr>
      <w:hyperlink r:id="rId17" w:history="1">
        <w:r w:rsidR="0066409D" w:rsidRPr="00596DA5">
          <w:rPr>
            <w:rStyle w:val="Hyperlink"/>
            <w:rFonts w:ascii="Times New Roman" w:hAnsi="Times New Roman" w:cs="Times New Roman"/>
            <w:sz w:val="20"/>
            <w:szCs w:val="20"/>
            <w:u w:val="none"/>
          </w:rPr>
          <w:t>Kaufman MB</w:t>
        </w:r>
        <w:r w:rsidR="00525F9D" w:rsidRPr="00596DA5">
          <w:rPr>
            <w:rStyle w:val="Hyperlink"/>
            <w:rFonts w:ascii="Times New Roman" w:hAnsi="Times New Roman" w:cs="Times New Roman"/>
            <w:sz w:val="20"/>
            <w:szCs w:val="20"/>
            <w:u w:val="none"/>
          </w:rPr>
          <w:t xml:space="preserve"> (2013)</w:t>
        </w:r>
        <w:r w:rsidR="00211916" w:rsidRPr="00596DA5">
          <w:rPr>
            <w:rStyle w:val="Hyperlink"/>
            <w:rFonts w:ascii="Times New Roman" w:hAnsi="Times New Roman" w:cs="Times New Roman"/>
            <w:sz w:val="20"/>
            <w:szCs w:val="20"/>
            <w:u w:val="none"/>
          </w:rPr>
          <w:t xml:space="preserve"> Drug Induced Pancreatitis </w:t>
        </w:r>
        <w:proofErr w:type="gramStart"/>
        <w:r w:rsidR="00211916" w:rsidRPr="00596DA5">
          <w:rPr>
            <w:rStyle w:val="Hyperlink"/>
            <w:rFonts w:ascii="Times New Roman" w:hAnsi="Times New Roman" w:cs="Times New Roman"/>
            <w:sz w:val="20"/>
            <w:szCs w:val="20"/>
            <w:u w:val="none"/>
          </w:rPr>
          <w:t>A</w:t>
        </w:r>
        <w:proofErr w:type="gramEnd"/>
        <w:r w:rsidR="00211916" w:rsidRPr="00596DA5">
          <w:rPr>
            <w:rStyle w:val="Hyperlink"/>
            <w:rFonts w:ascii="Times New Roman" w:hAnsi="Times New Roman" w:cs="Times New Roman"/>
            <w:sz w:val="20"/>
            <w:szCs w:val="20"/>
            <w:u w:val="none"/>
          </w:rPr>
          <w:t xml:space="preserve"> Potentially Serious and Underreported Problem. </w:t>
        </w:r>
        <w:r w:rsidR="006F3DE9" w:rsidRPr="00596DA5">
          <w:rPr>
            <w:rStyle w:val="Hyperlink"/>
            <w:rFonts w:ascii="Times New Roman" w:hAnsi="Times New Roman" w:cs="Times New Roman"/>
            <w:iCs/>
            <w:sz w:val="20"/>
            <w:szCs w:val="20"/>
            <w:u w:val="none"/>
          </w:rPr>
          <w:t>Pharmacy and Therapeutics</w:t>
        </w:r>
        <w:r w:rsidR="00040C3B" w:rsidRPr="00596DA5">
          <w:rPr>
            <w:rStyle w:val="Hyperlink"/>
            <w:rFonts w:ascii="Times New Roman" w:hAnsi="Times New Roman" w:cs="Times New Roman"/>
            <w:sz w:val="20"/>
            <w:szCs w:val="20"/>
            <w:u w:val="none"/>
          </w:rPr>
          <w:t xml:space="preserve"> </w:t>
        </w:r>
        <w:r w:rsidR="006F3DE9" w:rsidRPr="00596DA5">
          <w:rPr>
            <w:rStyle w:val="Hyperlink"/>
            <w:rFonts w:ascii="Times New Roman" w:hAnsi="Times New Roman" w:cs="Times New Roman"/>
            <w:sz w:val="20"/>
            <w:szCs w:val="20"/>
            <w:u w:val="none"/>
            <w:shd w:val="clear" w:color="auto" w:fill="FFFFFF"/>
          </w:rPr>
          <w:t>38</w:t>
        </w:r>
        <w:r w:rsidR="00040C3B" w:rsidRPr="00596DA5">
          <w:rPr>
            <w:rStyle w:val="Hyperlink"/>
            <w:rFonts w:ascii="Times New Roman" w:hAnsi="Times New Roman" w:cs="Times New Roman"/>
            <w:sz w:val="20"/>
            <w:szCs w:val="20"/>
            <w:u w:val="none"/>
            <w:shd w:val="clear" w:color="auto" w:fill="FFFFFF"/>
          </w:rPr>
          <w:t>:</w:t>
        </w:r>
        <w:r w:rsidR="006F3DE9" w:rsidRPr="00596DA5">
          <w:rPr>
            <w:rStyle w:val="Hyperlink"/>
            <w:rFonts w:ascii="Times New Roman" w:hAnsi="Times New Roman" w:cs="Times New Roman"/>
            <w:sz w:val="20"/>
            <w:szCs w:val="20"/>
            <w:u w:val="none"/>
            <w:shd w:val="clear" w:color="auto" w:fill="FFFFFF"/>
          </w:rPr>
          <w:t xml:space="preserve"> </w:t>
        </w:r>
        <w:r w:rsidR="00040C3B" w:rsidRPr="00596DA5">
          <w:rPr>
            <w:rStyle w:val="Hyperlink"/>
            <w:rFonts w:ascii="Times New Roman" w:hAnsi="Times New Roman" w:cs="Times New Roman"/>
            <w:sz w:val="20"/>
            <w:szCs w:val="20"/>
            <w:u w:val="none"/>
            <w:shd w:val="clear" w:color="auto" w:fill="FFFFFF"/>
          </w:rPr>
          <w:t>349-351.</w:t>
        </w:r>
      </w:hyperlink>
    </w:p>
    <w:p w14:paraId="1C189576" w14:textId="78AA1EBA" w:rsidR="00205DE0" w:rsidRPr="00596DA5" w:rsidRDefault="00470157" w:rsidP="00596DA5">
      <w:pPr>
        <w:pStyle w:val="ListParagraph"/>
        <w:numPr>
          <w:ilvl w:val="0"/>
          <w:numId w:val="4"/>
        </w:numPr>
        <w:mirrorIndents/>
        <w:jc w:val="both"/>
        <w:rPr>
          <w:rFonts w:ascii="Times New Roman" w:hAnsi="Times New Roman" w:cs="Times New Roman"/>
          <w:sz w:val="20"/>
          <w:szCs w:val="20"/>
        </w:rPr>
      </w:pPr>
      <w:hyperlink r:id="rId18" w:history="1">
        <w:r w:rsidR="00205DE0" w:rsidRPr="00596DA5">
          <w:rPr>
            <w:rStyle w:val="Hyperlink"/>
            <w:rFonts w:ascii="Times New Roman" w:hAnsi="Times New Roman" w:cs="Times New Roman"/>
            <w:sz w:val="20"/>
            <w:szCs w:val="20"/>
            <w:u w:val="none"/>
            <w:shd w:val="clear" w:color="auto" w:fill="FFFFFF"/>
          </w:rPr>
          <w:t>Jones MR, Hall OM, Kaye AM,</w:t>
        </w:r>
        <w:r w:rsidR="007063EF" w:rsidRPr="00596DA5">
          <w:rPr>
            <w:rStyle w:val="Hyperlink"/>
            <w:rFonts w:ascii="Times New Roman" w:hAnsi="Times New Roman" w:cs="Times New Roman"/>
            <w:sz w:val="20"/>
            <w:szCs w:val="20"/>
            <w:u w:val="none"/>
            <w:shd w:val="clear" w:color="auto" w:fill="FFFFFF"/>
          </w:rPr>
          <w:t xml:space="preserve"> et al.</w:t>
        </w:r>
        <w:r w:rsidR="002B1E68" w:rsidRPr="00596DA5">
          <w:rPr>
            <w:rStyle w:val="Hyperlink"/>
            <w:rFonts w:ascii="Times New Roman" w:hAnsi="Times New Roman" w:cs="Times New Roman"/>
            <w:sz w:val="20"/>
            <w:szCs w:val="20"/>
            <w:u w:val="none"/>
            <w:shd w:val="clear" w:color="auto" w:fill="FFFFFF"/>
          </w:rPr>
          <w:t xml:space="preserve"> (2015)</w:t>
        </w:r>
        <w:r w:rsidR="00205DE0" w:rsidRPr="00596DA5">
          <w:rPr>
            <w:rStyle w:val="Hyperlink"/>
            <w:rFonts w:ascii="Times New Roman" w:hAnsi="Times New Roman" w:cs="Times New Roman"/>
            <w:sz w:val="20"/>
            <w:szCs w:val="20"/>
            <w:u w:val="none"/>
            <w:shd w:val="clear" w:color="auto" w:fill="FFFFFF"/>
          </w:rPr>
          <w:t xml:space="preserve"> Drug-induced acute pancreatitis: a review. </w:t>
        </w:r>
        <w:r w:rsidR="00205DE0" w:rsidRPr="00596DA5">
          <w:rPr>
            <w:rStyle w:val="Hyperlink"/>
            <w:rFonts w:ascii="Times New Roman" w:hAnsi="Times New Roman" w:cs="Times New Roman"/>
            <w:iCs/>
            <w:sz w:val="20"/>
            <w:szCs w:val="20"/>
            <w:u w:val="none"/>
            <w:shd w:val="clear" w:color="auto" w:fill="FFFFFF"/>
          </w:rPr>
          <w:t>Ochsner J</w:t>
        </w:r>
        <w:r w:rsidR="003D55D1" w:rsidRPr="00596DA5">
          <w:rPr>
            <w:rStyle w:val="Hyperlink"/>
            <w:rFonts w:ascii="Times New Roman" w:hAnsi="Times New Roman" w:cs="Times New Roman"/>
            <w:sz w:val="20"/>
            <w:szCs w:val="20"/>
            <w:u w:val="none"/>
            <w:shd w:val="clear" w:color="auto" w:fill="FFFFFF"/>
          </w:rPr>
          <w:t xml:space="preserve"> 15</w:t>
        </w:r>
        <w:r w:rsidR="00205DE0" w:rsidRPr="00596DA5">
          <w:rPr>
            <w:rStyle w:val="Hyperlink"/>
            <w:rFonts w:ascii="Times New Roman" w:hAnsi="Times New Roman" w:cs="Times New Roman"/>
            <w:sz w:val="20"/>
            <w:szCs w:val="20"/>
            <w:u w:val="none"/>
            <w:shd w:val="clear" w:color="auto" w:fill="FFFFFF"/>
          </w:rPr>
          <w:t>:</w:t>
        </w:r>
        <w:r w:rsidR="003D55D1" w:rsidRPr="00596DA5">
          <w:rPr>
            <w:rStyle w:val="Hyperlink"/>
            <w:rFonts w:ascii="Times New Roman" w:hAnsi="Times New Roman" w:cs="Times New Roman"/>
            <w:sz w:val="20"/>
            <w:szCs w:val="20"/>
            <w:u w:val="none"/>
            <w:shd w:val="clear" w:color="auto" w:fill="FFFFFF"/>
          </w:rPr>
          <w:t xml:space="preserve"> </w:t>
        </w:r>
        <w:r w:rsidR="00205DE0" w:rsidRPr="00596DA5">
          <w:rPr>
            <w:rStyle w:val="Hyperlink"/>
            <w:rFonts w:ascii="Times New Roman" w:hAnsi="Times New Roman" w:cs="Times New Roman"/>
            <w:sz w:val="20"/>
            <w:szCs w:val="20"/>
            <w:u w:val="none"/>
            <w:shd w:val="clear" w:color="auto" w:fill="FFFFFF"/>
          </w:rPr>
          <w:t>45-51.</w:t>
        </w:r>
      </w:hyperlink>
    </w:p>
    <w:p w14:paraId="2817A314" w14:textId="5B4500F6" w:rsidR="00E24949" w:rsidRPr="00596DA5" w:rsidRDefault="00470157" w:rsidP="00596DA5">
      <w:pPr>
        <w:pStyle w:val="ListParagraph"/>
        <w:numPr>
          <w:ilvl w:val="0"/>
          <w:numId w:val="4"/>
        </w:numPr>
        <w:mirrorIndents/>
        <w:jc w:val="both"/>
        <w:rPr>
          <w:rFonts w:ascii="Times New Roman" w:hAnsi="Times New Roman" w:cs="Times New Roman"/>
          <w:sz w:val="20"/>
          <w:szCs w:val="20"/>
        </w:rPr>
      </w:pPr>
      <w:hyperlink r:id="rId19" w:history="1">
        <w:r w:rsidR="00E815AC" w:rsidRPr="00596DA5">
          <w:rPr>
            <w:rStyle w:val="Hyperlink"/>
            <w:rFonts w:ascii="Times New Roman" w:hAnsi="Times New Roman" w:cs="Times New Roman"/>
            <w:sz w:val="20"/>
            <w:szCs w:val="20"/>
            <w:u w:val="none"/>
          </w:rPr>
          <w:t>Pujara S, Ioachimescu A</w:t>
        </w:r>
        <w:r w:rsidR="00A21E23" w:rsidRPr="00596DA5">
          <w:rPr>
            <w:rStyle w:val="Hyperlink"/>
            <w:rFonts w:ascii="Times New Roman" w:hAnsi="Times New Roman" w:cs="Times New Roman"/>
            <w:sz w:val="20"/>
            <w:szCs w:val="20"/>
            <w:u w:val="none"/>
          </w:rPr>
          <w:t xml:space="preserve"> (2017)</w:t>
        </w:r>
        <w:r w:rsidR="00211916" w:rsidRPr="00596DA5">
          <w:rPr>
            <w:rStyle w:val="Hyperlink"/>
            <w:rFonts w:ascii="Times New Roman" w:hAnsi="Times New Roman" w:cs="Times New Roman"/>
            <w:sz w:val="20"/>
            <w:szCs w:val="20"/>
            <w:u w:val="none"/>
          </w:rPr>
          <w:t xml:space="preserve"> Prolonged Ketosis in a Patient with Euglycemic Diabetic Ketoacidosis Secondary to Dapagliflozin. </w:t>
        </w:r>
        <w:r w:rsidR="00211916" w:rsidRPr="00596DA5">
          <w:rPr>
            <w:rStyle w:val="Hyperlink"/>
            <w:rFonts w:ascii="Times New Roman" w:hAnsi="Times New Roman" w:cs="Times New Roman"/>
            <w:iCs/>
            <w:sz w:val="20"/>
            <w:szCs w:val="20"/>
            <w:u w:val="none"/>
          </w:rPr>
          <w:t>Journal of Investigative Medicine</w:t>
        </w:r>
        <w:r w:rsidR="00E815AC" w:rsidRPr="00596DA5">
          <w:rPr>
            <w:rStyle w:val="Hyperlink"/>
            <w:rFonts w:ascii="Times New Roman" w:hAnsi="Times New Roman" w:cs="Times New Roman"/>
            <w:sz w:val="20"/>
            <w:szCs w:val="20"/>
            <w:u w:val="none"/>
          </w:rPr>
          <w:t xml:space="preserve"> 5: 2324709617710040</w:t>
        </w:r>
      </w:hyperlink>
      <w:r w:rsidR="00D0254D" w:rsidRPr="00596DA5">
        <w:rPr>
          <w:rStyle w:val="Hyperlink"/>
          <w:rFonts w:ascii="Times New Roman" w:hAnsi="Times New Roman" w:cs="Times New Roman"/>
          <w:sz w:val="20"/>
          <w:szCs w:val="20"/>
          <w:u w:val="none"/>
        </w:rPr>
        <w:t>.</w:t>
      </w:r>
    </w:p>
    <w:sectPr w:rsidR="00E24949" w:rsidRPr="00596DA5" w:rsidSect="004D6DB0">
      <w:headerReference w:type="defaul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69384" w14:textId="77777777" w:rsidR="00470157" w:rsidRDefault="00470157" w:rsidP="0015490E">
      <w:r>
        <w:separator/>
      </w:r>
    </w:p>
  </w:endnote>
  <w:endnote w:type="continuationSeparator" w:id="0">
    <w:p w14:paraId="509EFF36" w14:textId="77777777" w:rsidR="00470157" w:rsidRDefault="00470157" w:rsidP="0015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32971" w14:textId="77777777" w:rsidR="00470157" w:rsidRDefault="00470157" w:rsidP="0015490E">
      <w:r>
        <w:separator/>
      </w:r>
    </w:p>
  </w:footnote>
  <w:footnote w:type="continuationSeparator" w:id="0">
    <w:p w14:paraId="22B76FE4" w14:textId="77777777" w:rsidR="00470157" w:rsidRDefault="00470157" w:rsidP="00154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74CE" w14:textId="77777777" w:rsidR="0015490E" w:rsidRPr="000033DE" w:rsidRDefault="0015490E" w:rsidP="0015490E">
    <w:pPr>
      <w:tabs>
        <w:tab w:val="left" w:pos="7426"/>
      </w:tabs>
      <w:contextualSpacing/>
      <w:mirrorIndents/>
      <w:jc w:val="both"/>
      <w:rPr>
        <w:sz w:val="20"/>
        <w:szCs w:val="20"/>
      </w:rPr>
    </w:pPr>
    <w:r w:rsidRPr="000033DE">
      <w:rPr>
        <w:noProof/>
        <w:sz w:val="20"/>
        <w:szCs w:val="20"/>
      </w:rPr>
      <w:drawing>
        <wp:anchor distT="0" distB="0" distL="114300" distR="114300" simplePos="0" relativeHeight="251659264" behindDoc="0" locked="0" layoutInCell="1" allowOverlap="1" wp14:anchorId="2A791F59" wp14:editId="03B46371">
          <wp:simplePos x="0" y="0"/>
          <wp:positionH relativeFrom="column">
            <wp:posOffset>196850</wp:posOffset>
          </wp:positionH>
          <wp:positionV relativeFrom="paragraph">
            <wp:posOffset>25400</wp:posOffset>
          </wp:positionV>
          <wp:extent cx="982345" cy="797560"/>
          <wp:effectExtent l="0" t="0" r="825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F96C081" w14:textId="77777777" w:rsidR="0015490E" w:rsidRPr="0053385D" w:rsidRDefault="0015490E" w:rsidP="0015490E">
    <w:pPr>
      <w:tabs>
        <w:tab w:val="left" w:pos="7426"/>
      </w:tabs>
      <w:contextualSpacing/>
      <w:mirrorIndents/>
      <w:jc w:val="both"/>
      <w:rPr>
        <w:sz w:val="22"/>
        <w:szCs w:val="22"/>
      </w:rPr>
    </w:pPr>
    <w:r w:rsidRPr="0053385D">
      <w:rPr>
        <w:sz w:val="22"/>
        <w:szCs w:val="22"/>
      </w:rPr>
      <w:t>Columbus Publishers</w:t>
    </w:r>
  </w:p>
  <w:p w14:paraId="2563DB26" w14:textId="77777777" w:rsidR="0015490E" w:rsidRPr="0053385D" w:rsidRDefault="0015490E" w:rsidP="0015490E">
    <w:pPr>
      <w:tabs>
        <w:tab w:val="left" w:pos="7426"/>
      </w:tabs>
      <w:contextualSpacing/>
      <w:mirrorIndents/>
      <w:jc w:val="both"/>
      <w:rPr>
        <w:sz w:val="22"/>
        <w:szCs w:val="22"/>
      </w:rPr>
    </w:pPr>
    <w:r w:rsidRPr="0053385D">
      <w:rPr>
        <w:sz w:val="22"/>
        <w:szCs w:val="22"/>
      </w:rPr>
      <w:t>Columbus Journal of Case Reports</w:t>
    </w:r>
  </w:p>
  <w:p w14:paraId="02DB02D2" w14:textId="7847BE91" w:rsidR="0015490E" w:rsidRPr="0053385D" w:rsidRDefault="000033DE" w:rsidP="0015490E">
    <w:pPr>
      <w:contextualSpacing/>
      <w:mirrorIndents/>
      <w:jc w:val="both"/>
      <w:rPr>
        <w:sz w:val="22"/>
        <w:szCs w:val="22"/>
      </w:rPr>
    </w:pPr>
    <w:r w:rsidRPr="0053385D">
      <w:rPr>
        <w:sz w:val="22"/>
        <w:szCs w:val="22"/>
      </w:rPr>
      <w:t>Volume 03: Issue 01</w:t>
    </w:r>
  </w:p>
  <w:p w14:paraId="60040263" w14:textId="2B43365F" w:rsidR="0015490E" w:rsidRDefault="000033DE" w:rsidP="0015490E">
    <w:pPr>
      <w:contextualSpacing/>
      <w:mirrorIndents/>
      <w:jc w:val="both"/>
      <w:rPr>
        <w:sz w:val="20"/>
        <w:szCs w:val="20"/>
      </w:rPr>
    </w:pPr>
    <w:r w:rsidRPr="0053385D">
      <w:rPr>
        <w:sz w:val="22"/>
        <w:szCs w:val="22"/>
      </w:rPr>
      <w:t>Dalal V, et al.</w:t>
    </w:r>
    <w:r>
      <w:rPr>
        <w:sz w:val="20"/>
        <w:szCs w:val="20"/>
      </w:rPr>
      <w:t xml:space="preserve"> </w:t>
    </w:r>
  </w:p>
  <w:p w14:paraId="4C89A211" w14:textId="77777777" w:rsidR="000033DE" w:rsidRPr="000033DE" w:rsidRDefault="000033DE" w:rsidP="0015490E">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7761"/>
    <w:multiLevelType w:val="multilevel"/>
    <w:tmpl w:val="45CE58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0050F85"/>
    <w:multiLevelType w:val="hybridMultilevel"/>
    <w:tmpl w:val="AF3ABDCC"/>
    <w:lvl w:ilvl="0" w:tplc="B9ACB5B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048B8"/>
    <w:multiLevelType w:val="hybridMultilevel"/>
    <w:tmpl w:val="0A085A1E"/>
    <w:lvl w:ilvl="0" w:tplc="B1E06AC6">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E1C66"/>
    <w:multiLevelType w:val="hybridMultilevel"/>
    <w:tmpl w:val="0F00BDB0"/>
    <w:lvl w:ilvl="0" w:tplc="097A0D9A">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16"/>
    <w:rsid w:val="000011C7"/>
    <w:rsid w:val="000033DE"/>
    <w:rsid w:val="000069D5"/>
    <w:rsid w:val="00011433"/>
    <w:rsid w:val="000125AC"/>
    <w:rsid w:val="00023CE1"/>
    <w:rsid w:val="0002479C"/>
    <w:rsid w:val="00024DDC"/>
    <w:rsid w:val="00040C3B"/>
    <w:rsid w:val="00046491"/>
    <w:rsid w:val="00050D0E"/>
    <w:rsid w:val="00055B14"/>
    <w:rsid w:val="00061D6D"/>
    <w:rsid w:val="00071C9D"/>
    <w:rsid w:val="00072DE4"/>
    <w:rsid w:val="0008277E"/>
    <w:rsid w:val="0008542E"/>
    <w:rsid w:val="00085583"/>
    <w:rsid w:val="000A267E"/>
    <w:rsid w:val="000C37DF"/>
    <w:rsid w:val="000C3B04"/>
    <w:rsid w:val="000C4F1B"/>
    <w:rsid w:val="000C7131"/>
    <w:rsid w:val="000D0893"/>
    <w:rsid w:val="000D3040"/>
    <w:rsid w:val="000E1EFA"/>
    <w:rsid w:val="000E5B37"/>
    <w:rsid w:val="000F491A"/>
    <w:rsid w:val="000F6D0C"/>
    <w:rsid w:val="000F7F80"/>
    <w:rsid w:val="00100210"/>
    <w:rsid w:val="00100B1B"/>
    <w:rsid w:val="00115165"/>
    <w:rsid w:val="00121F0D"/>
    <w:rsid w:val="00123089"/>
    <w:rsid w:val="00125F2D"/>
    <w:rsid w:val="00126C0E"/>
    <w:rsid w:val="001344A1"/>
    <w:rsid w:val="001356D4"/>
    <w:rsid w:val="0013665A"/>
    <w:rsid w:val="0015490E"/>
    <w:rsid w:val="001553BC"/>
    <w:rsid w:val="0016011C"/>
    <w:rsid w:val="00161518"/>
    <w:rsid w:val="001626E1"/>
    <w:rsid w:val="00163740"/>
    <w:rsid w:val="00166EAC"/>
    <w:rsid w:val="0017243E"/>
    <w:rsid w:val="001754BD"/>
    <w:rsid w:val="001774EB"/>
    <w:rsid w:val="0018556A"/>
    <w:rsid w:val="00190DEC"/>
    <w:rsid w:val="00197EAF"/>
    <w:rsid w:val="001A2C09"/>
    <w:rsid w:val="001A3068"/>
    <w:rsid w:val="001A7AD6"/>
    <w:rsid w:val="001C0E55"/>
    <w:rsid w:val="001C268E"/>
    <w:rsid w:val="001D674A"/>
    <w:rsid w:val="001D6DF5"/>
    <w:rsid w:val="001E067D"/>
    <w:rsid w:val="001E2C8B"/>
    <w:rsid w:val="0020487A"/>
    <w:rsid w:val="00205DE0"/>
    <w:rsid w:val="00211916"/>
    <w:rsid w:val="00212CA2"/>
    <w:rsid w:val="00217F7C"/>
    <w:rsid w:val="00222101"/>
    <w:rsid w:val="002407DC"/>
    <w:rsid w:val="00240B63"/>
    <w:rsid w:val="00270AB4"/>
    <w:rsid w:val="0027761C"/>
    <w:rsid w:val="002839E3"/>
    <w:rsid w:val="002845D9"/>
    <w:rsid w:val="00290A1A"/>
    <w:rsid w:val="002A4F6F"/>
    <w:rsid w:val="002A6CB0"/>
    <w:rsid w:val="002B1E68"/>
    <w:rsid w:val="002B4BD1"/>
    <w:rsid w:val="002C2ECA"/>
    <w:rsid w:val="002C31D7"/>
    <w:rsid w:val="002C5294"/>
    <w:rsid w:val="002E6B8C"/>
    <w:rsid w:val="00305AA4"/>
    <w:rsid w:val="0031631E"/>
    <w:rsid w:val="00320C9C"/>
    <w:rsid w:val="003230C5"/>
    <w:rsid w:val="003231BF"/>
    <w:rsid w:val="00342BCE"/>
    <w:rsid w:val="00346FEF"/>
    <w:rsid w:val="00374A27"/>
    <w:rsid w:val="003763C1"/>
    <w:rsid w:val="00387C0E"/>
    <w:rsid w:val="003A2BE5"/>
    <w:rsid w:val="003A39B0"/>
    <w:rsid w:val="003A5CA9"/>
    <w:rsid w:val="003D3C20"/>
    <w:rsid w:val="003D527C"/>
    <w:rsid w:val="003D55D1"/>
    <w:rsid w:val="003D7D9B"/>
    <w:rsid w:val="003E1FDC"/>
    <w:rsid w:val="003E2856"/>
    <w:rsid w:val="003E54B7"/>
    <w:rsid w:val="003E5CB2"/>
    <w:rsid w:val="003E5F14"/>
    <w:rsid w:val="003E649B"/>
    <w:rsid w:val="003F07A0"/>
    <w:rsid w:val="003F287F"/>
    <w:rsid w:val="004001AF"/>
    <w:rsid w:val="0040174F"/>
    <w:rsid w:val="00403D9E"/>
    <w:rsid w:val="004205B4"/>
    <w:rsid w:val="004221C0"/>
    <w:rsid w:val="004318F4"/>
    <w:rsid w:val="004354AE"/>
    <w:rsid w:val="004421CA"/>
    <w:rsid w:val="0044233C"/>
    <w:rsid w:val="004424D3"/>
    <w:rsid w:val="00460156"/>
    <w:rsid w:val="0046109B"/>
    <w:rsid w:val="004659C2"/>
    <w:rsid w:val="00470157"/>
    <w:rsid w:val="00481743"/>
    <w:rsid w:val="00487C7D"/>
    <w:rsid w:val="0049173F"/>
    <w:rsid w:val="004A0836"/>
    <w:rsid w:val="004A2C00"/>
    <w:rsid w:val="004B7C75"/>
    <w:rsid w:val="004C77E7"/>
    <w:rsid w:val="004D006E"/>
    <w:rsid w:val="004D6DB0"/>
    <w:rsid w:val="004E7F06"/>
    <w:rsid w:val="00501AA2"/>
    <w:rsid w:val="005042CD"/>
    <w:rsid w:val="0051283E"/>
    <w:rsid w:val="00515333"/>
    <w:rsid w:val="00523F2A"/>
    <w:rsid w:val="00525F9D"/>
    <w:rsid w:val="00532FD8"/>
    <w:rsid w:val="0053385D"/>
    <w:rsid w:val="0054171F"/>
    <w:rsid w:val="00551424"/>
    <w:rsid w:val="005553DC"/>
    <w:rsid w:val="005601EA"/>
    <w:rsid w:val="0056132F"/>
    <w:rsid w:val="00561920"/>
    <w:rsid w:val="0056338F"/>
    <w:rsid w:val="00565E67"/>
    <w:rsid w:val="00566A2B"/>
    <w:rsid w:val="00570299"/>
    <w:rsid w:val="0057126C"/>
    <w:rsid w:val="00571455"/>
    <w:rsid w:val="00576CCB"/>
    <w:rsid w:val="0058018C"/>
    <w:rsid w:val="005825A2"/>
    <w:rsid w:val="00586DF0"/>
    <w:rsid w:val="00593C22"/>
    <w:rsid w:val="00596DA5"/>
    <w:rsid w:val="00596F7A"/>
    <w:rsid w:val="005A0E26"/>
    <w:rsid w:val="005B1620"/>
    <w:rsid w:val="005B4B5C"/>
    <w:rsid w:val="005B78AC"/>
    <w:rsid w:val="005C6FDA"/>
    <w:rsid w:val="005D030A"/>
    <w:rsid w:val="005D32A5"/>
    <w:rsid w:val="005D727F"/>
    <w:rsid w:val="005F082C"/>
    <w:rsid w:val="005F26FA"/>
    <w:rsid w:val="005F7777"/>
    <w:rsid w:val="00602523"/>
    <w:rsid w:val="00605321"/>
    <w:rsid w:val="006056ED"/>
    <w:rsid w:val="00611992"/>
    <w:rsid w:val="0061267E"/>
    <w:rsid w:val="00615583"/>
    <w:rsid w:val="006171A7"/>
    <w:rsid w:val="00631B77"/>
    <w:rsid w:val="006330AB"/>
    <w:rsid w:val="0066409D"/>
    <w:rsid w:val="00691917"/>
    <w:rsid w:val="006941AA"/>
    <w:rsid w:val="006A0BD3"/>
    <w:rsid w:val="006A2DEC"/>
    <w:rsid w:val="006A33DD"/>
    <w:rsid w:val="006C5802"/>
    <w:rsid w:val="006C63E9"/>
    <w:rsid w:val="006D1EC0"/>
    <w:rsid w:val="006D204F"/>
    <w:rsid w:val="006D7D6C"/>
    <w:rsid w:val="006F0347"/>
    <w:rsid w:val="006F3DE9"/>
    <w:rsid w:val="00704F66"/>
    <w:rsid w:val="007063EF"/>
    <w:rsid w:val="00713795"/>
    <w:rsid w:val="00714365"/>
    <w:rsid w:val="00714638"/>
    <w:rsid w:val="0071681A"/>
    <w:rsid w:val="00737726"/>
    <w:rsid w:val="0074597E"/>
    <w:rsid w:val="00747F6E"/>
    <w:rsid w:val="007517E9"/>
    <w:rsid w:val="00760EDF"/>
    <w:rsid w:val="00764F19"/>
    <w:rsid w:val="00766809"/>
    <w:rsid w:val="0077435E"/>
    <w:rsid w:val="007803F5"/>
    <w:rsid w:val="0078114B"/>
    <w:rsid w:val="007831B7"/>
    <w:rsid w:val="007928E3"/>
    <w:rsid w:val="007C15BF"/>
    <w:rsid w:val="007C18D6"/>
    <w:rsid w:val="007C4BD3"/>
    <w:rsid w:val="007C792E"/>
    <w:rsid w:val="007D73B3"/>
    <w:rsid w:val="007E2919"/>
    <w:rsid w:val="007F131F"/>
    <w:rsid w:val="007F62D6"/>
    <w:rsid w:val="00801ACD"/>
    <w:rsid w:val="008050EB"/>
    <w:rsid w:val="00805D3A"/>
    <w:rsid w:val="00813227"/>
    <w:rsid w:val="00814220"/>
    <w:rsid w:val="00821204"/>
    <w:rsid w:val="00823A0B"/>
    <w:rsid w:val="00824DE5"/>
    <w:rsid w:val="0083717C"/>
    <w:rsid w:val="00841BED"/>
    <w:rsid w:val="00847430"/>
    <w:rsid w:val="00851DD6"/>
    <w:rsid w:val="00862178"/>
    <w:rsid w:val="00870738"/>
    <w:rsid w:val="00876A16"/>
    <w:rsid w:val="00877583"/>
    <w:rsid w:val="00881639"/>
    <w:rsid w:val="008901F8"/>
    <w:rsid w:val="00892AC4"/>
    <w:rsid w:val="008950A8"/>
    <w:rsid w:val="008B067A"/>
    <w:rsid w:val="008B1679"/>
    <w:rsid w:val="008B61E1"/>
    <w:rsid w:val="008B79B0"/>
    <w:rsid w:val="008C520D"/>
    <w:rsid w:val="008C7B31"/>
    <w:rsid w:val="008D6507"/>
    <w:rsid w:val="008D7ADC"/>
    <w:rsid w:val="008E4D7F"/>
    <w:rsid w:val="008E6E08"/>
    <w:rsid w:val="008E74D3"/>
    <w:rsid w:val="008F5574"/>
    <w:rsid w:val="008F6B98"/>
    <w:rsid w:val="008F772D"/>
    <w:rsid w:val="009165A3"/>
    <w:rsid w:val="00923729"/>
    <w:rsid w:val="0093074F"/>
    <w:rsid w:val="009324B4"/>
    <w:rsid w:val="00950433"/>
    <w:rsid w:val="00957597"/>
    <w:rsid w:val="00983A09"/>
    <w:rsid w:val="00984027"/>
    <w:rsid w:val="00987246"/>
    <w:rsid w:val="00990884"/>
    <w:rsid w:val="00996511"/>
    <w:rsid w:val="009A1B8B"/>
    <w:rsid w:val="009B30D9"/>
    <w:rsid w:val="009B396B"/>
    <w:rsid w:val="009B6D60"/>
    <w:rsid w:val="009C46FA"/>
    <w:rsid w:val="009C59C6"/>
    <w:rsid w:val="009D3B43"/>
    <w:rsid w:val="009D45AB"/>
    <w:rsid w:val="009D6CEB"/>
    <w:rsid w:val="009D76E6"/>
    <w:rsid w:val="009F2303"/>
    <w:rsid w:val="009F2C04"/>
    <w:rsid w:val="00A14FBF"/>
    <w:rsid w:val="00A16BBA"/>
    <w:rsid w:val="00A20533"/>
    <w:rsid w:val="00A21E23"/>
    <w:rsid w:val="00A22B7F"/>
    <w:rsid w:val="00A3278E"/>
    <w:rsid w:val="00A4493D"/>
    <w:rsid w:val="00A5128C"/>
    <w:rsid w:val="00A61C01"/>
    <w:rsid w:val="00A75927"/>
    <w:rsid w:val="00A75B9D"/>
    <w:rsid w:val="00A7643B"/>
    <w:rsid w:val="00A852AD"/>
    <w:rsid w:val="00A978E5"/>
    <w:rsid w:val="00AB0961"/>
    <w:rsid w:val="00AB0AF8"/>
    <w:rsid w:val="00AB5CD8"/>
    <w:rsid w:val="00AC118B"/>
    <w:rsid w:val="00AC2634"/>
    <w:rsid w:val="00AD4C7F"/>
    <w:rsid w:val="00AE1D8A"/>
    <w:rsid w:val="00AE29C6"/>
    <w:rsid w:val="00AE3C4B"/>
    <w:rsid w:val="00AF7365"/>
    <w:rsid w:val="00B05533"/>
    <w:rsid w:val="00B1066E"/>
    <w:rsid w:val="00B135CC"/>
    <w:rsid w:val="00B138AE"/>
    <w:rsid w:val="00B22F89"/>
    <w:rsid w:val="00B232AF"/>
    <w:rsid w:val="00B27534"/>
    <w:rsid w:val="00B33698"/>
    <w:rsid w:val="00B43E04"/>
    <w:rsid w:val="00B5671E"/>
    <w:rsid w:val="00B64D4B"/>
    <w:rsid w:val="00B67A8C"/>
    <w:rsid w:val="00B7241E"/>
    <w:rsid w:val="00B74BEF"/>
    <w:rsid w:val="00B84E9A"/>
    <w:rsid w:val="00B91BE9"/>
    <w:rsid w:val="00BA1D59"/>
    <w:rsid w:val="00BA3349"/>
    <w:rsid w:val="00BA3C56"/>
    <w:rsid w:val="00BA5C14"/>
    <w:rsid w:val="00BB0874"/>
    <w:rsid w:val="00BB16A3"/>
    <w:rsid w:val="00BB537F"/>
    <w:rsid w:val="00BC0293"/>
    <w:rsid w:val="00BE3B72"/>
    <w:rsid w:val="00BE55C1"/>
    <w:rsid w:val="00BF4679"/>
    <w:rsid w:val="00BF63CD"/>
    <w:rsid w:val="00BF6BDB"/>
    <w:rsid w:val="00C068EC"/>
    <w:rsid w:val="00C13AC2"/>
    <w:rsid w:val="00C271D9"/>
    <w:rsid w:val="00C40837"/>
    <w:rsid w:val="00C47AE2"/>
    <w:rsid w:val="00C52DF7"/>
    <w:rsid w:val="00C61B02"/>
    <w:rsid w:val="00C61D35"/>
    <w:rsid w:val="00C623ED"/>
    <w:rsid w:val="00C718A6"/>
    <w:rsid w:val="00C76444"/>
    <w:rsid w:val="00C764F7"/>
    <w:rsid w:val="00C87782"/>
    <w:rsid w:val="00CB6266"/>
    <w:rsid w:val="00CC3C3A"/>
    <w:rsid w:val="00CD3F49"/>
    <w:rsid w:val="00CE2366"/>
    <w:rsid w:val="00D003F2"/>
    <w:rsid w:val="00D0254D"/>
    <w:rsid w:val="00D156E1"/>
    <w:rsid w:val="00D24EB2"/>
    <w:rsid w:val="00D32DA6"/>
    <w:rsid w:val="00D34F32"/>
    <w:rsid w:val="00D36600"/>
    <w:rsid w:val="00D37C41"/>
    <w:rsid w:val="00D42195"/>
    <w:rsid w:val="00D442B4"/>
    <w:rsid w:val="00D51364"/>
    <w:rsid w:val="00D52DEE"/>
    <w:rsid w:val="00D65A33"/>
    <w:rsid w:val="00D73517"/>
    <w:rsid w:val="00D7740F"/>
    <w:rsid w:val="00D83D87"/>
    <w:rsid w:val="00D85C34"/>
    <w:rsid w:val="00DA555A"/>
    <w:rsid w:val="00DC17DA"/>
    <w:rsid w:val="00DC3D34"/>
    <w:rsid w:val="00DD5B97"/>
    <w:rsid w:val="00DE455B"/>
    <w:rsid w:val="00DE79F8"/>
    <w:rsid w:val="00DF6715"/>
    <w:rsid w:val="00E1129D"/>
    <w:rsid w:val="00E11E10"/>
    <w:rsid w:val="00E13989"/>
    <w:rsid w:val="00E2365A"/>
    <w:rsid w:val="00E2404D"/>
    <w:rsid w:val="00E24949"/>
    <w:rsid w:val="00E24DBA"/>
    <w:rsid w:val="00E25443"/>
    <w:rsid w:val="00E35E3D"/>
    <w:rsid w:val="00E3722C"/>
    <w:rsid w:val="00E37559"/>
    <w:rsid w:val="00E531FA"/>
    <w:rsid w:val="00E64052"/>
    <w:rsid w:val="00E71F17"/>
    <w:rsid w:val="00E7215B"/>
    <w:rsid w:val="00E815AC"/>
    <w:rsid w:val="00E86E0F"/>
    <w:rsid w:val="00E879CE"/>
    <w:rsid w:val="00EB6DD5"/>
    <w:rsid w:val="00EC5090"/>
    <w:rsid w:val="00ED013B"/>
    <w:rsid w:val="00EE5542"/>
    <w:rsid w:val="00EF4F83"/>
    <w:rsid w:val="00F04C7B"/>
    <w:rsid w:val="00F05DBC"/>
    <w:rsid w:val="00F12B51"/>
    <w:rsid w:val="00F215FE"/>
    <w:rsid w:val="00F45102"/>
    <w:rsid w:val="00F46D44"/>
    <w:rsid w:val="00F51362"/>
    <w:rsid w:val="00F553A8"/>
    <w:rsid w:val="00F60410"/>
    <w:rsid w:val="00F609C5"/>
    <w:rsid w:val="00F6456F"/>
    <w:rsid w:val="00F67D3B"/>
    <w:rsid w:val="00F70710"/>
    <w:rsid w:val="00F70F88"/>
    <w:rsid w:val="00F7202D"/>
    <w:rsid w:val="00F86000"/>
    <w:rsid w:val="00F93EC7"/>
    <w:rsid w:val="00F95288"/>
    <w:rsid w:val="00F971DE"/>
    <w:rsid w:val="00FA1165"/>
    <w:rsid w:val="00FA3D6A"/>
    <w:rsid w:val="00FB0FD3"/>
    <w:rsid w:val="00FC5EF0"/>
    <w:rsid w:val="00FD48D9"/>
    <w:rsid w:val="00FD7D1D"/>
    <w:rsid w:val="00FE28C7"/>
    <w:rsid w:val="00FE35A7"/>
    <w:rsid w:val="00FF300D"/>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A1ACB"/>
  <w15:chartTrackingRefBased/>
  <w15:docId w15:val="{F4E1BB5C-2FC5-9D4C-A9A4-30D3A221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C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211916"/>
    <w:pPr>
      <w:spacing w:before="100" w:beforeAutospacing="1" w:after="100" w:afterAutospacing="1"/>
    </w:pPr>
  </w:style>
  <w:style w:type="paragraph" w:styleId="ListParagraph">
    <w:name w:val="List Paragraph"/>
    <w:basedOn w:val="Normal"/>
    <w:uiPriority w:val="34"/>
    <w:qFormat/>
    <w:rsid w:val="008E4D7F"/>
    <w:pPr>
      <w:ind w:left="720"/>
      <w:contextualSpacing/>
    </w:pPr>
    <w:rPr>
      <w:rFonts w:asciiTheme="minorHAnsi" w:eastAsiaTheme="minorHAnsi" w:hAnsiTheme="minorHAnsi" w:cstheme="minorBidi"/>
    </w:rPr>
  </w:style>
  <w:style w:type="table" w:styleId="TableGrid">
    <w:name w:val="Table Grid"/>
    <w:basedOn w:val="TableNormal"/>
    <w:uiPriority w:val="39"/>
    <w:rsid w:val="00990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17DA"/>
    <w:rPr>
      <w:sz w:val="16"/>
      <w:szCs w:val="16"/>
    </w:rPr>
  </w:style>
  <w:style w:type="paragraph" w:styleId="CommentText">
    <w:name w:val="annotation text"/>
    <w:basedOn w:val="Normal"/>
    <w:link w:val="CommentTextChar"/>
    <w:uiPriority w:val="99"/>
    <w:semiHidden/>
    <w:unhideWhenUsed/>
    <w:rsid w:val="00DC17D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17DA"/>
    <w:rPr>
      <w:sz w:val="20"/>
      <w:szCs w:val="20"/>
    </w:rPr>
  </w:style>
  <w:style w:type="paragraph" w:styleId="CommentSubject">
    <w:name w:val="annotation subject"/>
    <w:basedOn w:val="CommentText"/>
    <w:next w:val="CommentText"/>
    <w:link w:val="CommentSubjectChar"/>
    <w:uiPriority w:val="99"/>
    <w:semiHidden/>
    <w:unhideWhenUsed/>
    <w:rsid w:val="00DC17DA"/>
    <w:rPr>
      <w:b/>
      <w:bCs/>
    </w:rPr>
  </w:style>
  <w:style w:type="character" w:customStyle="1" w:styleId="CommentSubjectChar">
    <w:name w:val="Comment Subject Char"/>
    <w:basedOn w:val="CommentTextChar"/>
    <w:link w:val="CommentSubject"/>
    <w:uiPriority w:val="99"/>
    <w:semiHidden/>
    <w:rsid w:val="00DC17DA"/>
    <w:rPr>
      <w:b/>
      <w:bCs/>
      <w:sz w:val="20"/>
      <w:szCs w:val="20"/>
    </w:rPr>
  </w:style>
  <w:style w:type="paragraph" w:styleId="BalloonText">
    <w:name w:val="Balloon Text"/>
    <w:basedOn w:val="Normal"/>
    <w:link w:val="BalloonTextChar"/>
    <w:uiPriority w:val="99"/>
    <w:semiHidden/>
    <w:unhideWhenUsed/>
    <w:rsid w:val="00DC17D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C17DA"/>
    <w:rPr>
      <w:rFonts w:ascii="Segoe UI" w:hAnsi="Segoe UI" w:cs="Segoe UI"/>
      <w:sz w:val="18"/>
      <w:szCs w:val="18"/>
    </w:rPr>
  </w:style>
  <w:style w:type="character" w:styleId="Hyperlink">
    <w:name w:val="Hyperlink"/>
    <w:basedOn w:val="DefaultParagraphFont"/>
    <w:uiPriority w:val="99"/>
    <w:unhideWhenUsed/>
    <w:rsid w:val="002839E3"/>
    <w:rPr>
      <w:color w:val="0563C1" w:themeColor="hyperlink"/>
      <w:u w:val="single"/>
    </w:rPr>
  </w:style>
  <w:style w:type="paragraph" w:styleId="Header">
    <w:name w:val="header"/>
    <w:basedOn w:val="Normal"/>
    <w:link w:val="HeaderChar"/>
    <w:uiPriority w:val="99"/>
    <w:unhideWhenUsed/>
    <w:rsid w:val="0015490E"/>
    <w:pPr>
      <w:tabs>
        <w:tab w:val="center" w:pos="4680"/>
        <w:tab w:val="right" w:pos="9360"/>
      </w:tabs>
    </w:pPr>
  </w:style>
  <w:style w:type="character" w:customStyle="1" w:styleId="HeaderChar">
    <w:name w:val="Header Char"/>
    <w:basedOn w:val="DefaultParagraphFont"/>
    <w:link w:val="Header"/>
    <w:uiPriority w:val="99"/>
    <w:rsid w:val="0015490E"/>
    <w:rPr>
      <w:rFonts w:ascii="Times New Roman" w:eastAsia="Times New Roman" w:hAnsi="Times New Roman" w:cs="Times New Roman"/>
    </w:rPr>
  </w:style>
  <w:style w:type="paragraph" w:styleId="Footer">
    <w:name w:val="footer"/>
    <w:basedOn w:val="Normal"/>
    <w:link w:val="FooterChar"/>
    <w:uiPriority w:val="99"/>
    <w:unhideWhenUsed/>
    <w:rsid w:val="0015490E"/>
    <w:pPr>
      <w:tabs>
        <w:tab w:val="center" w:pos="4680"/>
        <w:tab w:val="right" w:pos="9360"/>
      </w:tabs>
    </w:pPr>
  </w:style>
  <w:style w:type="character" w:customStyle="1" w:styleId="FooterChar">
    <w:name w:val="Footer Char"/>
    <w:basedOn w:val="DefaultParagraphFont"/>
    <w:link w:val="Footer"/>
    <w:uiPriority w:val="99"/>
    <w:rsid w:val="001549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8740">
      <w:bodyDiv w:val="1"/>
      <w:marLeft w:val="0"/>
      <w:marRight w:val="0"/>
      <w:marTop w:val="0"/>
      <w:marBottom w:val="0"/>
      <w:divBdr>
        <w:top w:val="none" w:sz="0" w:space="0" w:color="auto"/>
        <w:left w:val="none" w:sz="0" w:space="0" w:color="auto"/>
        <w:bottom w:val="none" w:sz="0" w:space="0" w:color="auto"/>
        <w:right w:val="none" w:sz="0" w:space="0" w:color="auto"/>
      </w:divBdr>
    </w:div>
    <w:div w:id="422339772">
      <w:bodyDiv w:val="1"/>
      <w:marLeft w:val="0"/>
      <w:marRight w:val="0"/>
      <w:marTop w:val="0"/>
      <w:marBottom w:val="0"/>
      <w:divBdr>
        <w:top w:val="none" w:sz="0" w:space="0" w:color="auto"/>
        <w:left w:val="none" w:sz="0" w:space="0" w:color="auto"/>
        <w:bottom w:val="none" w:sz="0" w:space="0" w:color="auto"/>
        <w:right w:val="none" w:sz="0" w:space="0" w:color="auto"/>
      </w:divBdr>
    </w:div>
    <w:div w:id="472842444">
      <w:bodyDiv w:val="1"/>
      <w:marLeft w:val="0"/>
      <w:marRight w:val="0"/>
      <w:marTop w:val="0"/>
      <w:marBottom w:val="0"/>
      <w:divBdr>
        <w:top w:val="none" w:sz="0" w:space="0" w:color="auto"/>
        <w:left w:val="none" w:sz="0" w:space="0" w:color="auto"/>
        <w:bottom w:val="none" w:sz="0" w:space="0" w:color="auto"/>
        <w:right w:val="none" w:sz="0" w:space="0" w:color="auto"/>
      </w:divBdr>
    </w:div>
    <w:div w:id="569580273">
      <w:bodyDiv w:val="1"/>
      <w:marLeft w:val="0"/>
      <w:marRight w:val="0"/>
      <w:marTop w:val="0"/>
      <w:marBottom w:val="0"/>
      <w:divBdr>
        <w:top w:val="none" w:sz="0" w:space="0" w:color="auto"/>
        <w:left w:val="none" w:sz="0" w:space="0" w:color="auto"/>
        <w:bottom w:val="none" w:sz="0" w:space="0" w:color="auto"/>
        <w:right w:val="none" w:sz="0" w:space="0" w:color="auto"/>
      </w:divBdr>
    </w:div>
    <w:div w:id="576670212">
      <w:bodyDiv w:val="1"/>
      <w:marLeft w:val="0"/>
      <w:marRight w:val="0"/>
      <w:marTop w:val="0"/>
      <w:marBottom w:val="0"/>
      <w:divBdr>
        <w:top w:val="none" w:sz="0" w:space="0" w:color="auto"/>
        <w:left w:val="none" w:sz="0" w:space="0" w:color="auto"/>
        <w:bottom w:val="none" w:sz="0" w:space="0" w:color="auto"/>
        <w:right w:val="none" w:sz="0" w:space="0" w:color="auto"/>
      </w:divBdr>
    </w:div>
    <w:div w:id="652376197">
      <w:bodyDiv w:val="1"/>
      <w:marLeft w:val="0"/>
      <w:marRight w:val="0"/>
      <w:marTop w:val="0"/>
      <w:marBottom w:val="0"/>
      <w:divBdr>
        <w:top w:val="none" w:sz="0" w:space="0" w:color="auto"/>
        <w:left w:val="none" w:sz="0" w:space="0" w:color="auto"/>
        <w:bottom w:val="none" w:sz="0" w:space="0" w:color="auto"/>
        <w:right w:val="none" w:sz="0" w:space="0" w:color="auto"/>
      </w:divBdr>
    </w:div>
    <w:div w:id="676276578">
      <w:bodyDiv w:val="1"/>
      <w:marLeft w:val="0"/>
      <w:marRight w:val="0"/>
      <w:marTop w:val="0"/>
      <w:marBottom w:val="0"/>
      <w:divBdr>
        <w:top w:val="none" w:sz="0" w:space="0" w:color="auto"/>
        <w:left w:val="none" w:sz="0" w:space="0" w:color="auto"/>
        <w:bottom w:val="none" w:sz="0" w:space="0" w:color="auto"/>
        <w:right w:val="none" w:sz="0" w:space="0" w:color="auto"/>
      </w:divBdr>
    </w:div>
    <w:div w:id="755907017">
      <w:bodyDiv w:val="1"/>
      <w:marLeft w:val="0"/>
      <w:marRight w:val="0"/>
      <w:marTop w:val="0"/>
      <w:marBottom w:val="0"/>
      <w:divBdr>
        <w:top w:val="none" w:sz="0" w:space="0" w:color="auto"/>
        <w:left w:val="none" w:sz="0" w:space="0" w:color="auto"/>
        <w:bottom w:val="none" w:sz="0" w:space="0" w:color="auto"/>
        <w:right w:val="none" w:sz="0" w:space="0" w:color="auto"/>
      </w:divBdr>
    </w:div>
    <w:div w:id="886914731">
      <w:bodyDiv w:val="1"/>
      <w:marLeft w:val="0"/>
      <w:marRight w:val="0"/>
      <w:marTop w:val="0"/>
      <w:marBottom w:val="0"/>
      <w:divBdr>
        <w:top w:val="none" w:sz="0" w:space="0" w:color="auto"/>
        <w:left w:val="none" w:sz="0" w:space="0" w:color="auto"/>
        <w:bottom w:val="none" w:sz="0" w:space="0" w:color="auto"/>
        <w:right w:val="none" w:sz="0" w:space="0" w:color="auto"/>
      </w:divBdr>
    </w:div>
    <w:div w:id="921371755">
      <w:bodyDiv w:val="1"/>
      <w:marLeft w:val="0"/>
      <w:marRight w:val="0"/>
      <w:marTop w:val="0"/>
      <w:marBottom w:val="0"/>
      <w:divBdr>
        <w:top w:val="none" w:sz="0" w:space="0" w:color="auto"/>
        <w:left w:val="none" w:sz="0" w:space="0" w:color="auto"/>
        <w:bottom w:val="none" w:sz="0" w:space="0" w:color="auto"/>
        <w:right w:val="none" w:sz="0" w:space="0" w:color="auto"/>
      </w:divBdr>
    </w:div>
    <w:div w:id="1201673300">
      <w:bodyDiv w:val="1"/>
      <w:marLeft w:val="0"/>
      <w:marRight w:val="0"/>
      <w:marTop w:val="0"/>
      <w:marBottom w:val="0"/>
      <w:divBdr>
        <w:top w:val="none" w:sz="0" w:space="0" w:color="auto"/>
        <w:left w:val="none" w:sz="0" w:space="0" w:color="auto"/>
        <w:bottom w:val="none" w:sz="0" w:space="0" w:color="auto"/>
        <w:right w:val="none" w:sz="0" w:space="0" w:color="auto"/>
      </w:divBdr>
    </w:div>
    <w:div w:id="1218324760">
      <w:bodyDiv w:val="1"/>
      <w:marLeft w:val="0"/>
      <w:marRight w:val="0"/>
      <w:marTop w:val="0"/>
      <w:marBottom w:val="0"/>
      <w:divBdr>
        <w:top w:val="none" w:sz="0" w:space="0" w:color="auto"/>
        <w:left w:val="none" w:sz="0" w:space="0" w:color="auto"/>
        <w:bottom w:val="none" w:sz="0" w:space="0" w:color="auto"/>
        <w:right w:val="none" w:sz="0" w:space="0" w:color="auto"/>
      </w:divBdr>
    </w:div>
    <w:div w:id="1678388037">
      <w:bodyDiv w:val="1"/>
      <w:marLeft w:val="0"/>
      <w:marRight w:val="0"/>
      <w:marTop w:val="0"/>
      <w:marBottom w:val="0"/>
      <w:divBdr>
        <w:top w:val="none" w:sz="0" w:space="0" w:color="auto"/>
        <w:left w:val="none" w:sz="0" w:space="0" w:color="auto"/>
        <w:bottom w:val="none" w:sz="0" w:space="0" w:color="auto"/>
        <w:right w:val="none" w:sz="0" w:space="0" w:color="auto"/>
      </w:divBdr>
    </w:div>
    <w:div w:id="1761757236">
      <w:bodyDiv w:val="1"/>
      <w:marLeft w:val="0"/>
      <w:marRight w:val="0"/>
      <w:marTop w:val="0"/>
      <w:marBottom w:val="0"/>
      <w:divBdr>
        <w:top w:val="none" w:sz="0" w:space="0" w:color="auto"/>
        <w:left w:val="none" w:sz="0" w:space="0" w:color="auto"/>
        <w:bottom w:val="none" w:sz="0" w:space="0" w:color="auto"/>
        <w:right w:val="none" w:sz="0" w:space="0" w:color="auto"/>
      </w:divBdr>
    </w:div>
    <w:div w:id="1854492192">
      <w:bodyDiv w:val="1"/>
      <w:marLeft w:val="0"/>
      <w:marRight w:val="0"/>
      <w:marTop w:val="0"/>
      <w:marBottom w:val="0"/>
      <w:divBdr>
        <w:top w:val="none" w:sz="0" w:space="0" w:color="auto"/>
        <w:left w:val="none" w:sz="0" w:space="0" w:color="auto"/>
        <w:bottom w:val="none" w:sz="0" w:space="0" w:color="auto"/>
        <w:right w:val="none" w:sz="0" w:space="0" w:color="auto"/>
      </w:divBdr>
    </w:div>
    <w:div w:id="2027711209">
      <w:bodyDiv w:val="1"/>
      <w:marLeft w:val="0"/>
      <w:marRight w:val="0"/>
      <w:marTop w:val="0"/>
      <w:marBottom w:val="0"/>
      <w:divBdr>
        <w:top w:val="none" w:sz="0" w:space="0" w:color="auto"/>
        <w:left w:val="none" w:sz="0" w:space="0" w:color="auto"/>
        <w:bottom w:val="none" w:sz="0" w:space="0" w:color="auto"/>
        <w:right w:val="none" w:sz="0" w:space="0" w:color="auto"/>
      </w:divBdr>
    </w:div>
    <w:div w:id="2066759687">
      <w:bodyDiv w:val="1"/>
      <w:marLeft w:val="0"/>
      <w:marRight w:val="0"/>
      <w:marTop w:val="0"/>
      <w:marBottom w:val="0"/>
      <w:divBdr>
        <w:top w:val="none" w:sz="0" w:space="0" w:color="auto"/>
        <w:left w:val="none" w:sz="0" w:space="0" w:color="auto"/>
        <w:bottom w:val="none" w:sz="0" w:space="0" w:color="auto"/>
        <w:right w:val="none" w:sz="0" w:space="0" w:color="auto"/>
      </w:divBdr>
    </w:div>
    <w:div w:id="214638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ubmed.ncbi.nlm.nih.gov/27042263/" TargetMode="External"/><Relationship Id="rId18" Type="http://schemas.openxmlformats.org/officeDocument/2006/relationships/hyperlink" Target="https://pubmed.ncbi.nlm.nih.gov/258298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nejm.org/doi/full/10.1056/nejmoa1811744" TargetMode="External"/><Relationship Id="rId17" Type="http://schemas.openxmlformats.org/officeDocument/2006/relationships/hyperlink" Target="https://pubmed.ncbi.nlm.nih.gov/23946630/" TargetMode="External"/><Relationship Id="rId2" Type="http://schemas.openxmlformats.org/officeDocument/2006/relationships/styles" Target="styles.xml"/><Relationship Id="rId16" Type="http://schemas.openxmlformats.org/officeDocument/2006/relationships/hyperlink" Target="https://pubmed.ncbi.nlm.nih.gov/3231863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full/10.1056/NEJMoa2107038" TargetMode="External"/><Relationship Id="rId5" Type="http://schemas.openxmlformats.org/officeDocument/2006/relationships/footnotes" Target="footnotes.xml"/><Relationship Id="rId15" Type="http://schemas.openxmlformats.org/officeDocument/2006/relationships/hyperlink" Target="https://pubmed.ncbi.nlm.nih.gov/32734242/" TargetMode="External"/><Relationship Id="rId10" Type="http://schemas.openxmlformats.org/officeDocument/2006/relationships/hyperlink" Target="https://www.nejm.org/doi/full/10.1056/NEJMoa2022190" TargetMode="External"/><Relationship Id="rId19" Type="http://schemas.openxmlformats.org/officeDocument/2006/relationships/hyperlink" Target="https://www.ncbi.nlm.nih.gov/pmc/articles/PMC5446101/" TargetMode="External"/><Relationship Id="rId4" Type="http://schemas.openxmlformats.org/officeDocument/2006/relationships/webSettings" Target="webSettings.xml"/><Relationship Id="rId9" Type="http://schemas.openxmlformats.org/officeDocument/2006/relationships/hyperlink" Target="https://www.ncbi.nlm.nih.gov/pmc/articles/PMC7044483/" TargetMode="External"/><Relationship Id="rId14" Type="http://schemas.openxmlformats.org/officeDocument/2006/relationships/hyperlink" Target="https://www.nature.com/articles/s41598-021-89752-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Dalal</dc:creator>
  <cp:keywords/>
  <dc:description/>
  <cp:lastModifiedBy>Nancy Berry</cp:lastModifiedBy>
  <cp:revision>865</cp:revision>
  <dcterms:created xsi:type="dcterms:W3CDTF">2022-09-14T20:45:00Z</dcterms:created>
  <dcterms:modified xsi:type="dcterms:W3CDTF">2023-03-01T16:02:00Z</dcterms:modified>
</cp:coreProperties>
</file>