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26" w:rsidRPr="00843883" w:rsidRDefault="001B5ADE" w:rsidP="003F0726">
      <w:pPr>
        <w:contextualSpacing/>
        <w:mirrorIndents/>
        <w:jc w:val="both"/>
        <w:rPr>
          <w:b/>
          <w:sz w:val="22"/>
          <w:szCs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Pr>
          <w:b/>
          <w:sz w:val="22"/>
          <w:szCs w:val="22"/>
        </w:rPr>
        <w:t>Research Article</w:t>
      </w:r>
    </w:p>
    <w:p w:rsidR="003F0726" w:rsidRPr="00261AE3" w:rsidRDefault="003F0726" w:rsidP="003F0726">
      <w:pPr>
        <w:contextualSpacing/>
        <w:mirrorIndents/>
        <w:jc w:val="both"/>
        <w:rPr>
          <w:sz w:val="20"/>
          <w:szCs w:val="20"/>
        </w:rPr>
      </w:pPr>
    </w:p>
    <w:p w:rsidR="00F0559C" w:rsidRPr="004A68A1" w:rsidRDefault="00F0559C" w:rsidP="00F0559C">
      <w:pPr>
        <w:contextualSpacing/>
        <w:mirrorIndents/>
        <w:jc w:val="center"/>
        <w:rPr>
          <w:b/>
          <w:sz w:val="30"/>
          <w:szCs w:val="30"/>
        </w:rPr>
      </w:pPr>
      <w:r w:rsidRPr="004A68A1">
        <w:rPr>
          <w:b/>
          <w:sz w:val="30"/>
          <w:szCs w:val="30"/>
        </w:rPr>
        <w:t xml:space="preserve">Hospital Acquired Pressure Injuries in Prone Positioning </w:t>
      </w:r>
      <w:r>
        <w:rPr>
          <w:b/>
          <w:sz w:val="30"/>
          <w:szCs w:val="30"/>
        </w:rPr>
        <w:t>-</w:t>
      </w:r>
      <w:r w:rsidRPr="004A68A1">
        <w:rPr>
          <w:b/>
          <w:sz w:val="30"/>
          <w:szCs w:val="30"/>
        </w:rPr>
        <w:t xml:space="preserve"> Is Manual </w:t>
      </w:r>
      <w:proofErr w:type="spellStart"/>
      <w:r w:rsidRPr="004A68A1">
        <w:rPr>
          <w:b/>
          <w:sz w:val="30"/>
          <w:szCs w:val="30"/>
        </w:rPr>
        <w:t>Proning</w:t>
      </w:r>
      <w:proofErr w:type="spellEnd"/>
      <w:r w:rsidRPr="004A68A1">
        <w:rPr>
          <w:b/>
          <w:sz w:val="30"/>
          <w:szCs w:val="30"/>
        </w:rPr>
        <w:t xml:space="preserve"> better than using the </w:t>
      </w:r>
      <w:proofErr w:type="spellStart"/>
      <w:r w:rsidRPr="004A68A1">
        <w:rPr>
          <w:b/>
          <w:sz w:val="30"/>
          <w:szCs w:val="30"/>
        </w:rPr>
        <w:t>Rotoprone</w:t>
      </w:r>
      <w:proofErr w:type="spellEnd"/>
      <w:r w:rsidRPr="003844C8">
        <w:rPr>
          <w:b/>
          <w:color w:val="FF0000"/>
          <w:sz w:val="30"/>
          <w:szCs w:val="30"/>
          <w:vertAlign w:val="superscript"/>
        </w:rPr>
        <w:t>®</w:t>
      </w:r>
      <w:r w:rsidRPr="004A68A1">
        <w:rPr>
          <w:b/>
          <w:color w:val="000000"/>
          <w:sz w:val="30"/>
          <w:szCs w:val="30"/>
          <w:vertAlign w:val="superscript"/>
        </w:rPr>
        <w:t xml:space="preserve"> </w:t>
      </w:r>
      <w:r w:rsidRPr="004A68A1">
        <w:rPr>
          <w:b/>
          <w:sz w:val="30"/>
          <w:szCs w:val="30"/>
        </w:rPr>
        <w:t>bed?</w:t>
      </w:r>
    </w:p>
    <w:p w:rsidR="003F0726" w:rsidRPr="002347A9" w:rsidRDefault="003F0726" w:rsidP="003F0726">
      <w:pPr>
        <w:contextualSpacing/>
        <w:mirrorIndents/>
        <w:jc w:val="both"/>
        <w:rPr>
          <w:sz w:val="20"/>
          <w:szCs w:val="20"/>
        </w:rPr>
      </w:pPr>
    </w:p>
    <w:p w:rsidR="003F0726" w:rsidRPr="00097EFE" w:rsidRDefault="003E6D4A" w:rsidP="003F0726">
      <w:pPr>
        <w:contextualSpacing/>
        <w:mirrorIndents/>
        <w:jc w:val="both"/>
        <w:rPr>
          <w:b/>
          <w:sz w:val="22"/>
          <w:szCs w:val="22"/>
        </w:rPr>
      </w:pPr>
      <w:r w:rsidRPr="00814AAF">
        <w:rPr>
          <w:b/>
          <w:sz w:val="22"/>
          <w:szCs w:val="22"/>
        </w:rPr>
        <w:t xml:space="preserve">Jacquie </w:t>
      </w:r>
      <w:r w:rsidR="000C0645">
        <w:rPr>
          <w:b/>
          <w:sz w:val="22"/>
          <w:szCs w:val="22"/>
        </w:rPr>
        <w:t xml:space="preserve">M </w:t>
      </w:r>
      <w:proofErr w:type="spellStart"/>
      <w:r w:rsidR="00DF544B">
        <w:rPr>
          <w:b/>
          <w:sz w:val="22"/>
          <w:szCs w:val="22"/>
        </w:rPr>
        <w:t>DeMellow</w:t>
      </w:r>
      <w:proofErr w:type="spellEnd"/>
      <w:r w:rsidR="00DF544B">
        <w:rPr>
          <w:b/>
          <w:sz w:val="22"/>
          <w:szCs w:val="22"/>
        </w:rPr>
        <w:t>, PhD RN CC</w:t>
      </w:r>
      <w:r w:rsidRPr="00814AAF">
        <w:rPr>
          <w:b/>
          <w:sz w:val="22"/>
          <w:szCs w:val="22"/>
        </w:rPr>
        <w:t>N</w:t>
      </w:r>
      <w:r w:rsidR="00DF544B" w:rsidRPr="00DF544B">
        <w:rPr>
          <w:b/>
          <w:sz w:val="30"/>
          <w:szCs w:val="30"/>
        </w:rPr>
        <w:t>s</w:t>
      </w:r>
      <w:r w:rsidRPr="00814AAF">
        <w:rPr>
          <w:b/>
          <w:sz w:val="22"/>
          <w:szCs w:val="22"/>
        </w:rPr>
        <w:t xml:space="preserve"> CPHQ</w:t>
      </w:r>
      <w:r w:rsidR="003F0726" w:rsidRPr="00814AAF">
        <w:rPr>
          <w:b/>
          <w:color w:val="FF0000"/>
          <w:sz w:val="22"/>
          <w:szCs w:val="22"/>
          <w:vertAlign w:val="superscript"/>
        </w:rPr>
        <w:t>#</w:t>
      </w:r>
      <w:r w:rsidR="00097EFE">
        <w:rPr>
          <w:b/>
          <w:color w:val="FF0000"/>
          <w:sz w:val="22"/>
          <w:szCs w:val="22"/>
        </w:rPr>
        <w:t xml:space="preserve">, </w:t>
      </w:r>
      <w:r w:rsidR="00097EFE" w:rsidRPr="009E63FA">
        <w:rPr>
          <w:b/>
          <w:sz w:val="22"/>
          <w:szCs w:val="22"/>
        </w:rPr>
        <w:t xml:space="preserve">Teri </w:t>
      </w:r>
      <w:proofErr w:type="spellStart"/>
      <w:r w:rsidR="00097EFE" w:rsidRPr="009E63FA">
        <w:rPr>
          <w:b/>
          <w:sz w:val="22"/>
          <w:szCs w:val="22"/>
        </w:rPr>
        <w:t>Kozik</w:t>
      </w:r>
      <w:proofErr w:type="spellEnd"/>
      <w:r w:rsidR="008E1F17" w:rsidRPr="009E63FA">
        <w:rPr>
          <w:b/>
          <w:sz w:val="22"/>
          <w:szCs w:val="22"/>
        </w:rPr>
        <w:t xml:space="preserve">, </w:t>
      </w:r>
      <w:proofErr w:type="spellStart"/>
      <w:r w:rsidR="00964C37" w:rsidRPr="009E63FA">
        <w:rPr>
          <w:b/>
          <w:sz w:val="22"/>
          <w:szCs w:val="22"/>
        </w:rPr>
        <w:t>Harbir</w:t>
      </w:r>
      <w:proofErr w:type="spellEnd"/>
      <w:r w:rsidR="00964C37" w:rsidRPr="009E63FA">
        <w:rPr>
          <w:b/>
          <w:sz w:val="22"/>
          <w:szCs w:val="22"/>
        </w:rPr>
        <w:t xml:space="preserve"> </w:t>
      </w:r>
      <w:proofErr w:type="spellStart"/>
      <w:r w:rsidR="00964C37" w:rsidRPr="009E63FA">
        <w:rPr>
          <w:b/>
          <w:sz w:val="22"/>
          <w:szCs w:val="22"/>
        </w:rPr>
        <w:t>Dhillon</w:t>
      </w:r>
      <w:proofErr w:type="spellEnd"/>
    </w:p>
    <w:p w:rsidR="003F0726" w:rsidRPr="00261AE3" w:rsidRDefault="003F0726" w:rsidP="003F0726">
      <w:pPr>
        <w:contextualSpacing/>
        <w:mirrorIndents/>
        <w:jc w:val="both"/>
        <w:rPr>
          <w:sz w:val="20"/>
          <w:szCs w:val="20"/>
        </w:rPr>
      </w:pPr>
    </w:p>
    <w:p w:rsidR="003F0726" w:rsidRPr="00261AE3" w:rsidRDefault="003F0726" w:rsidP="003F0726">
      <w:pPr>
        <w:contextualSpacing/>
        <w:mirrorIndents/>
        <w:jc w:val="both"/>
        <w:rPr>
          <w:sz w:val="20"/>
          <w:szCs w:val="20"/>
        </w:rPr>
      </w:pPr>
      <w:r w:rsidRPr="00261AE3">
        <w:rPr>
          <w:color w:val="FF0000"/>
          <w:sz w:val="20"/>
          <w:szCs w:val="20"/>
          <w:vertAlign w:val="superscript"/>
        </w:rPr>
        <w:t>#</w:t>
      </w:r>
      <w:r w:rsidR="00D70E5B" w:rsidRPr="00D70E5B">
        <w:rPr>
          <w:sz w:val="20"/>
          <w:szCs w:val="20"/>
        </w:rPr>
        <w:t>Dignity Health St Joseph’s Me</w:t>
      </w:r>
      <w:bookmarkStart w:id="7" w:name="_GoBack"/>
      <w:bookmarkEnd w:id="7"/>
      <w:r w:rsidR="00D70E5B" w:rsidRPr="00D70E5B">
        <w:rPr>
          <w:sz w:val="20"/>
          <w:szCs w:val="20"/>
        </w:rPr>
        <w:t>dical Center</w:t>
      </w:r>
      <w:r w:rsidRPr="00261AE3">
        <w:rPr>
          <w:sz w:val="20"/>
          <w:szCs w:val="20"/>
        </w:rPr>
        <w:t xml:space="preserve">, </w:t>
      </w:r>
      <w:r w:rsidR="000E7698" w:rsidRPr="000E7698">
        <w:rPr>
          <w:sz w:val="20"/>
          <w:szCs w:val="20"/>
        </w:rPr>
        <w:t>California</w:t>
      </w:r>
      <w:r w:rsidRPr="00261AE3">
        <w:rPr>
          <w:sz w:val="20"/>
          <w:szCs w:val="20"/>
        </w:rPr>
        <w:t>, USA</w:t>
      </w:r>
    </w:p>
    <w:p w:rsidR="003F0726" w:rsidRPr="00D470E4" w:rsidRDefault="003F0726" w:rsidP="003F0726">
      <w:pPr>
        <w:contextualSpacing/>
        <w:mirrorIndents/>
        <w:jc w:val="both"/>
        <w:rPr>
          <w:sz w:val="20"/>
          <w:szCs w:val="20"/>
        </w:rPr>
      </w:pPr>
    </w:p>
    <w:p w:rsidR="003F0726" w:rsidRDefault="003F0726" w:rsidP="003F0726">
      <w:pPr>
        <w:contextualSpacing/>
        <w:mirrorIndents/>
        <w:jc w:val="both"/>
        <w:rPr>
          <w:sz w:val="20"/>
          <w:szCs w:val="20"/>
        </w:rPr>
      </w:pPr>
      <w:r w:rsidRPr="00261AE3">
        <w:rPr>
          <w:b/>
          <w:color w:val="FF0000"/>
          <w:sz w:val="20"/>
          <w:szCs w:val="20"/>
          <w:vertAlign w:val="superscript"/>
        </w:rPr>
        <w:t>#</w:t>
      </w:r>
      <w:r w:rsidRPr="00261AE3">
        <w:rPr>
          <w:b/>
          <w:sz w:val="20"/>
          <w:szCs w:val="20"/>
        </w:rPr>
        <w:t>Corresponding author:</w:t>
      </w:r>
      <w:r w:rsidRPr="00261AE3">
        <w:rPr>
          <w:sz w:val="20"/>
          <w:szCs w:val="20"/>
        </w:rPr>
        <w:t xml:space="preserve"> </w:t>
      </w:r>
      <w:r w:rsidR="00F07639">
        <w:rPr>
          <w:sz w:val="20"/>
          <w:szCs w:val="20"/>
        </w:rPr>
        <w:t xml:space="preserve">Jacquie M </w:t>
      </w:r>
      <w:proofErr w:type="spellStart"/>
      <w:r w:rsidR="00F07639">
        <w:rPr>
          <w:sz w:val="20"/>
          <w:szCs w:val="20"/>
        </w:rPr>
        <w:t>De</w:t>
      </w:r>
      <w:r w:rsidR="00B316D6" w:rsidRPr="00B316D6">
        <w:rPr>
          <w:sz w:val="20"/>
          <w:szCs w:val="20"/>
        </w:rPr>
        <w:t>Mellow</w:t>
      </w:r>
      <w:proofErr w:type="spellEnd"/>
      <w:r w:rsidR="00B316D6" w:rsidRPr="00B316D6">
        <w:rPr>
          <w:sz w:val="20"/>
          <w:szCs w:val="20"/>
        </w:rPr>
        <w:t>, PhD RN CCN</w:t>
      </w:r>
      <w:r w:rsidR="00DF544B" w:rsidRPr="00DF544B">
        <w:rPr>
          <w:sz w:val="30"/>
          <w:szCs w:val="30"/>
        </w:rPr>
        <w:t>s</w:t>
      </w:r>
      <w:r w:rsidR="00B316D6" w:rsidRPr="00B316D6">
        <w:rPr>
          <w:sz w:val="20"/>
          <w:szCs w:val="20"/>
        </w:rPr>
        <w:t xml:space="preserve"> CPHQ</w:t>
      </w:r>
      <w:r w:rsidRPr="00261AE3">
        <w:rPr>
          <w:sz w:val="20"/>
          <w:szCs w:val="20"/>
        </w:rPr>
        <w:t xml:space="preserve">, </w:t>
      </w:r>
      <w:r w:rsidR="0022472D" w:rsidRPr="0022472D">
        <w:rPr>
          <w:sz w:val="20"/>
          <w:szCs w:val="20"/>
        </w:rPr>
        <w:t xml:space="preserve">Dignity Health St Joseph’s Medical Center, 1800 N California St, Stockton, </w:t>
      </w:r>
      <w:r w:rsidR="002A4AE9" w:rsidRPr="000E7698">
        <w:rPr>
          <w:sz w:val="20"/>
          <w:szCs w:val="20"/>
        </w:rPr>
        <w:t>California</w:t>
      </w:r>
      <w:r w:rsidR="002A4AE9" w:rsidRPr="0022472D">
        <w:rPr>
          <w:sz w:val="20"/>
          <w:szCs w:val="20"/>
        </w:rPr>
        <w:t xml:space="preserve"> </w:t>
      </w:r>
      <w:r w:rsidR="0022472D" w:rsidRPr="0022472D">
        <w:rPr>
          <w:sz w:val="20"/>
          <w:szCs w:val="20"/>
        </w:rPr>
        <w:t>95204, USA</w:t>
      </w:r>
    </w:p>
    <w:p w:rsidR="00351625" w:rsidRPr="00261AE3" w:rsidRDefault="00351625" w:rsidP="003F0726">
      <w:pPr>
        <w:contextualSpacing/>
        <w:mirrorIndents/>
        <w:jc w:val="both"/>
        <w:rPr>
          <w:sz w:val="20"/>
          <w:szCs w:val="20"/>
        </w:rPr>
      </w:pPr>
    </w:p>
    <w:p w:rsidR="003F0726" w:rsidRPr="00261AE3" w:rsidRDefault="003F0726" w:rsidP="003F0726">
      <w:pPr>
        <w:contextualSpacing/>
        <w:mirrorIndents/>
        <w:jc w:val="both"/>
        <w:rPr>
          <w:sz w:val="20"/>
          <w:szCs w:val="20"/>
        </w:rPr>
      </w:pPr>
      <w:r w:rsidRPr="00261AE3">
        <w:rPr>
          <w:b/>
          <w:sz w:val="20"/>
          <w:szCs w:val="20"/>
        </w:rPr>
        <w:t>How to cite this article:</w:t>
      </w:r>
      <w:r w:rsidRPr="00261AE3">
        <w:rPr>
          <w:sz w:val="20"/>
          <w:szCs w:val="20"/>
        </w:rPr>
        <w:t xml:space="preserve"> </w:t>
      </w:r>
      <w:proofErr w:type="spellStart"/>
      <w:r w:rsidR="00220669">
        <w:rPr>
          <w:sz w:val="20"/>
          <w:szCs w:val="20"/>
        </w:rPr>
        <w:t>De</w:t>
      </w:r>
      <w:r w:rsidR="00B112FC" w:rsidRPr="00B112FC">
        <w:rPr>
          <w:sz w:val="20"/>
          <w:szCs w:val="20"/>
        </w:rPr>
        <w:t>Mellow</w:t>
      </w:r>
      <w:proofErr w:type="spellEnd"/>
      <w:r w:rsidR="00B112FC" w:rsidRPr="00B112FC">
        <w:rPr>
          <w:sz w:val="20"/>
          <w:szCs w:val="20"/>
        </w:rPr>
        <w:t xml:space="preserve"> </w:t>
      </w:r>
      <w:r w:rsidR="00056E05">
        <w:rPr>
          <w:sz w:val="20"/>
          <w:szCs w:val="20"/>
        </w:rPr>
        <w:t>JM</w:t>
      </w:r>
      <w:r w:rsidR="00D37886">
        <w:rPr>
          <w:sz w:val="20"/>
          <w:szCs w:val="20"/>
        </w:rPr>
        <w:t xml:space="preserve">, </w:t>
      </w:r>
      <w:proofErr w:type="spellStart"/>
      <w:r w:rsidR="00D37886" w:rsidRPr="00D37886">
        <w:rPr>
          <w:sz w:val="20"/>
          <w:szCs w:val="20"/>
        </w:rPr>
        <w:t>Kozik</w:t>
      </w:r>
      <w:proofErr w:type="spellEnd"/>
      <w:r w:rsidR="00D37886">
        <w:rPr>
          <w:sz w:val="20"/>
          <w:szCs w:val="20"/>
        </w:rPr>
        <w:t xml:space="preserve"> T</w:t>
      </w:r>
      <w:r w:rsidR="00D37886" w:rsidRPr="00D37886">
        <w:rPr>
          <w:sz w:val="20"/>
          <w:szCs w:val="20"/>
        </w:rPr>
        <w:t xml:space="preserve">, </w:t>
      </w:r>
      <w:proofErr w:type="spellStart"/>
      <w:proofErr w:type="gramStart"/>
      <w:r w:rsidR="00D37886" w:rsidRPr="00D37886">
        <w:rPr>
          <w:sz w:val="20"/>
          <w:szCs w:val="20"/>
        </w:rPr>
        <w:t>Dhillon</w:t>
      </w:r>
      <w:proofErr w:type="spellEnd"/>
      <w:proofErr w:type="gramEnd"/>
      <w:r w:rsidR="00D37886">
        <w:rPr>
          <w:sz w:val="20"/>
          <w:szCs w:val="20"/>
        </w:rPr>
        <w:t xml:space="preserve"> H </w:t>
      </w:r>
      <w:r w:rsidRPr="00261AE3">
        <w:rPr>
          <w:sz w:val="20"/>
          <w:szCs w:val="20"/>
        </w:rPr>
        <w:t xml:space="preserve">(2022) </w:t>
      </w:r>
      <w:r w:rsidR="009D4191" w:rsidRPr="009D4191">
        <w:rPr>
          <w:sz w:val="20"/>
          <w:szCs w:val="20"/>
        </w:rPr>
        <w:t xml:space="preserve">Hospital Acquired Pressure Injuries in Prone Positioning - Is Manual </w:t>
      </w:r>
      <w:proofErr w:type="spellStart"/>
      <w:r w:rsidR="009D4191" w:rsidRPr="009D4191">
        <w:rPr>
          <w:sz w:val="20"/>
          <w:szCs w:val="20"/>
        </w:rPr>
        <w:t>Proning</w:t>
      </w:r>
      <w:proofErr w:type="spellEnd"/>
      <w:r w:rsidR="009D4191" w:rsidRPr="009D4191">
        <w:rPr>
          <w:sz w:val="20"/>
          <w:szCs w:val="20"/>
        </w:rPr>
        <w:t xml:space="preserve"> better than using the </w:t>
      </w:r>
      <w:proofErr w:type="spellStart"/>
      <w:r w:rsidR="009D4191" w:rsidRPr="009D4191">
        <w:rPr>
          <w:sz w:val="20"/>
          <w:szCs w:val="20"/>
        </w:rPr>
        <w:t>Rotoprone</w:t>
      </w:r>
      <w:proofErr w:type="spellEnd"/>
      <w:r w:rsidR="009D4191" w:rsidRPr="009D4191">
        <w:rPr>
          <w:sz w:val="20"/>
          <w:szCs w:val="20"/>
        </w:rPr>
        <w:t>® bed?</w:t>
      </w:r>
      <w:r w:rsidRPr="00261AE3">
        <w:rPr>
          <w:sz w:val="20"/>
          <w:szCs w:val="20"/>
        </w:rPr>
        <w:t xml:space="preserve"> </w:t>
      </w:r>
      <w:proofErr w:type="spellStart"/>
      <w:r w:rsidRPr="00261AE3">
        <w:rPr>
          <w:sz w:val="20"/>
          <w:szCs w:val="20"/>
        </w:rPr>
        <w:t>Int</w:t>
      </w:r>
      <w:proofErr w:type="spellEnd"/>
      <w:r w:rsidRPr="00261AE3">
        <w:rPr>
          <w:sz w:val="20"/>
          <w:szCs w:val="20"/>
        </w:rPr>
        <w:t xml:space="preserve"> J </w:t>
      </w:r>
      <w:proofErr w:type="spellStart"/>
      <w:r w:rsidRPr="00261AE3">
        <w:rPr>
          <w:sz w:val="20"/>
          <w:szCs w:val="20"/>
        </w:rPr>
        <w:t>Nurs</w:t>
      </w:r>
      <w:proofErr w:type="spellEnd"/>
      <w:r w:rsidRPr="00261AE3">
        <w:rPr>
          <w:sz w:val="20"/>
          <w:szCs w:val="20"/>
        </w:rPr>
        <w:t xml:space="preserve"> &amp; </w:t>
      </w:r>
      <w:proofErr w:type="spellStart"/>
      <w:r w:rsidRPr="00261AE3">
        <w:rPr>
          <w:sz w:val="20"/>
          <w:szCs w:val="20"/>
        </w:rPr>
        <w:t>Healt</w:t>
      </w:r>
      <w:proofErr w:type="spellEnd"/>
      <w:r w:rsidRPr="00261AE3">
        <w:rPr>
          <w:sz w:val="20"/>
          <w:szCs w:val="20"/>
        </w:rPr>
        <w:t xml:space="preserve"> Car </w:t>
      </w:r>
      <w:proofErr w:type="spellStart"/>
      <w:r w:rsidRPr="00261AE3">
        <w:rPr>
          <w:sz w:val="20"/>
          <w:szCs w:val="20"/>
        </w:rPr>
        <w:t>Scie</w:t>
      </w:r>
      <w:proofErr w:type="spellEnd"/>
      <w:r w:rsidRPr="00261AE3">
        <w:rPr>
          <w:sz w:val="20"/>
          <w:szCs w:val="20"/>
        </w:rPr>
        <w:t xml:space="preserve"> 02(05</w:t>
      </w:r>
      <w:r w:rsidR="005C4DB4">
        <w:rPr>
          <w:sz w:val="20"/>
          <w:szCs w:val="20"/>
        </w:rPr>
        <w:t>): 2022-119</w:t>
      </w:r>
      <w:r w:rsidRPr="00261AE3">
        <w:rPr>
          <w:sz w:val="20"/>
          <w:szCs w:val="20"/>
        </w:rPr>
        <w:t>.</w:t>
      </w:r>
    </w:p>
    <w:p w:rsidR="003F0726" w:rsidRPr="00261AE3" w:rsidRDefault="003F0726" w:rsidP="003F0726">
      <w:pPr>
        <w:contextualSpacing/>
        <w:mirrorIndents/>
        <w:jc w:val="both"/>
        <w:rPr>
          <w:sz w:val="20"/>
          <w:szCs w:val="20"/>
        </w:rPr>
      </w:pPr>
    </w:p>
    <w:p w:rsidR="003F0726" w:rsidRPr="00261AE3" w:rsidRDefault="003F0726" w:rsidP="003F0726">
      <w:pPr>
        <w:contextualSpacing/>
        <w:mirrorIndents/>
        <w:jc w:val="both"/>
        <w:rPr>
          <w:sz w:val="20"/>
          <w:szCs w:val="20"/>
        </w:rPr>
      </w:pPr>
      <w:r w:rsidRPr="00261AE3">
        <w:rPr>
          <w:b/>
          <w:sz w:val="20"/>
          <w:szCs w:val="20"/>
        </w:rPr>
        <w:t>Submission Date:</w:t>
      </w:r>
      <w:r w:rsidRPr="00261AE3">
        <w:rPr>
          <w:sz w:val="20"/>
          <w:szCs w:val="20"/>
        </w:rPr>
        <w:t xml:space="preserve"> 19 May, 2022; </w:t>
      </w:r>
      <w:r w:rsidRPr="00261AE3">
        <w:rPr>
          <w:b/>
          <w:sz w:val="20"/>
          <w:szCs w:val="20"/>
        </w:rPr>
        <w:t>Accepted Date:</w:t>
      </w:r>
      <w:r w:rsidRPr="00261AE3">
        <w:rPr>
          <w:sz w:val="20"/>
          <w:szCs w:val="20"/>
        </w:rPr>
        <w:t xml:space="preserve"> 26 May, 2022; </w:t>
      </w:r>
      <w:r w:rsidRPr="00261AE3">
        <w:rPr>
          <w:b/>
          <w:sz w:val="20"/>
          <w:szCs w:val="20"/>
        </w:rPr>
        <w:t>Published Online:</w:t>
      </w:r>
      <w:r w:rsidRPr="00261AE3">
        <w:rPr>
          <w:sz w:val="20"/>
          <w:szCs w:val="20"/>
        </w:rPr>
        <w:t xml:space="preserve"> </w:t>
      </w:r>
      <w:bookmarkEnd w:id="0"/>
      <w:bookmarkEnd w:id="1"/>
      <w:bookmarkEnd w:id="2"/>
      <w:bookmarkEnd w:id="3"/>
      <w:bookmarkEnd w:id="4"/>
      <w:bookmarkEnd w:id="5"/>
      <w:bookmarkEnd w:id="6"/>
      <w:r w:rsidRPr="00261AE3">
        <w:rPr>
          <w:sz w:val="20"/>
          <w:szCs w:val="20"/>
        </w:rPr>
        <w:t>31 May, 2022</w:t>
      </w:r>
      <w:bookmarkStart w:id="8" w:name="_m1mrl5rb9kiu" w:colFirst="0" w:colLast="0"/>
      <w:bookmarkEnd w:id="8"/>
    </w:p>
    <w:p w:rsidR="000F7085" w:rsidRPr="00987649" w:rsidRDefault="000F7085" w:rsidP="008450B0">
      <w:pPr>
        <w:contextualSpacing/>
        <w:mirrorIndents/>
        <w:jc w:val="both"/>
        <w:rPr>
          <w:sz w:val="20"/>
          <w:szCs w:val="20"/>
        </w:rPr>
      </w:pPr>
    </w:p>
    <w:p w:rsidR="00E863A5" w:rsidRPr="0012295D" w:rsidRDefault="00E863A5" w:rsidP="008450B0">
      <w:pPr>
        <w:contextualSpacing/>
        <w:mirrorIndents/>
        <w:jc w:val="both"/>
        <w:rPr>
          <w:b/>
          <w:sz w:val="22"/>
          <w:szCs w:val="22"/>
        </w:rPr>
      </w:pPr>
      <w:r w:rsidRPr="0012295D">
        <w:rPr>
          <w:b/>
          <w:sz w:val="22"/>
          <w:szCs w:val="22"/>
        </w:rPr>
        <w:t>Abstract</w:t>
      </w:r>
    </w:p>
    <w:p w:rsidR="000F7085" w:rsidRPr="00987649" w:rsidRDefault="000F7085" w:rsidP="008450B0">
      <w:pPr>
        <w:contextualSpacing/>
        <w:mirrorIndents/>
        <w:jc w:val="both"/>
        <w:rPr>
          <w:sz w:val="20"/>
          <w:szCs w:val="20"/>
        </w:rPr>
      </w:pPr>
    </w:p>
    <w:p w:rsidR="00E863A5" w:rsidRPr="00987649" w:rsidRDefault="00EE64E0" w:rsidP="008450B0">
      <w:pPr>
        <w:contextualSpacing/>
        <w:mirrorIndents/>
        <w:jc w:val="both"/>
        <w:rPr>
          <w:sz w:val="20"/>
          <w:szCs w:val="20"/>
        </w:rPr>
      </w:pPr>
      <w:r w:rsidRPr="0012295D">
        <w:rPr>
          <w:b/>
          <w:sz w:val="20"/>
          <w:szCs w:val="20"/>
        </w:rPr>
        <w:t>Objective:</w:t>
      </w:r>
      <w:r w:rsidRPr="00987649">
        <w:rPr>
          <w:sz w:val="20"/>
          <w:szCs w:val="20"/>
        </w:rPr>
        <w:t xml:space="preserve"> </w:t>
      </w:r>
      <w:r w:rsidR="00E863A5" w:rsidRPr="00987649">
        <w:rPr>
          <w:sz w:val="20"/>
          <w:szCs w:val="20"/>
        </w:rPr>
        <w:t xml:space="preserve">This study compared the incidence of hospital-acquired pressure injuries, between a specialty bed and </w:t>
      </w:r>
      <w:proofErr w:type="gramStart"/>
      <w:r w:rsidR="00E863A5" w:rsidRPr="00987649">
        <w:rPr>
          <w:sz w:val="20"/>
          <w:szCs w:val="20"/>
        </w:rPr>
        <w:t>the</w:t>
      </w:r>
      <w:proofErr w:type="gramEnd"/>
      <w:r w:rsidR="00E863A5" w:rsidRPr="00987649">
        <w:rPr>
          <w:sz w:val="20"/>
          <w:szCs w:val="20"/>
        </w:rPr>
        <w:t xml:space="preserve"> manual method of prone therapy in patients with acute respiratory distress syndrome.</w:t>
      </w:r>
    </w:p>
    <w:p w:rsidR="00E863A5" w:rsidRPr="00987649" w:rsidRDefault="000C6CF3" w:rsidP="008450B0">
      <w:pPr>
        <w:contextualSpacing/>
        <w:mirrorIndents/>
        <w:jc w:val="both"/>
        <w:rPr>
          <w:sz w:val="20"/>
          <w:szCs w:val="20"/>
        </w:rPr>
      </w:pPr>
      <w:r w:rsidRPr="00C96968">
        <w:rPr>
          <w:b/>
          <w:sz w:val="20"/>
          <w:szCs w:val="20"/>
        </w:rPr>
        <w:t>Research Methodology/Design</w:t>
      </w:r>
      <w:r w:rsidR="00E5211B" w:rsidRPr="00C96968">
        <w:rPr>
          <w:b/>
          <w:sz w:val="20"/>
          <w:szCs w:val="20"/>
        </w:rPr>
        <w:t>:</w:t>
      </w:r>
      <w:r w:rsidR="00E5211B" w:rsidRPr="00987649">
        <w:rPr>
          <w:sz w:val="20"/>
          <w:szCs w:val="20"/>
        </w:rPr>
        <w:t xml:space="preserve"> </w:t>
      </w:r>
      <w:r w:rsidR="00E863A5" w:rsidRPr="00987649">
        <w:rPr>
          <w:sz w:val="20"/>
          <w:szCs w:val="20"/>
        </w:rPr>
        <w:t xml:space="preserve">This was a retrospective </w:t>
      </w:r>
      <w:r w:rsidR="00AF2D90" w:rsidRPr="00987649">
        <w:rPr>
          <w:sz w:val="20"/>
          <w:szCs w:val="20"/>
        </w:rPr>
        <w:t xml:space="preserve">comparative descriptive </w:t>
      </w:r>
      <w:r w:rsidR="00E863A5" w:rsidRPr="00987649">
        <w:rPr>
          <w:sz w:val="20"/>
          <w:szCs w:val="20"/>
        </w:rPr>
        <w:t>study using existing electronic health record data. Patients with hospital-acquired pressure injuries were identified through review of the wound care notes in the electronic health record. </w:t>
      </w:r>
    </w:p>
    <w:p w:rsidR="00E863A5" w:rsidRPr="00987649" w:rsidRDefault="00C96968" w:rsidP="008450B0">
      <w:pPr>
        <w:contextualSpacing/>
        <w:mirrorIndents/>
        <w:jc w:val="both"/>
        <w:rPr>
          <w:sz w:val="20"/>
          <w:szCs w:val="20"/>
        </w:rPr>
      </w:pPr>
      <w:r>
        <w:rPr>
          <w:b/>
          <w:sz w:val="20"/>
          <w:szCs w:val="20"/>
        </w:rPr>
        <w:t>Setting a</w:t>
      </w:r>
      <w:r w:rsidRPr="00C96968">
        <w:rPr>
          <w:b/>
          <w:sz w:val="20"/>
          <w:szCs w:val="20"/>
        </w:rPr>
        <w:t>nd Sample:</w:t>
      </w:r>
      <w:r w:rsidR="002045BF" w:rsidRPr="00987649">
        <w:rPr>
          <w:sz w:val="20"/>
          <w:szCs w:val="20"/>
        </w:rPr>
        <w:t xml:space="preserve"> </w:t>
      </w:r>
      <w:r w:rsidR="00E863A5" w:rsidRPr="00987649">
        <w:rPr>
          <w:sz w:val="20"/>
          <w:szCs w:val="20"/>
        </w:rPr>
        <w:t xml:space="preserve">The setting was four intensive care units in a 355-bed community hospital in California, USA. The study included </w:t>
      </w:r>
      <w:r w:rsidR="00AF2D90" w:rsidRPr="00987649">
        <w:rPr>
          <w:sz w:val="20"/>
          <w:szCs w:val="20"/>
        </w:rPr>
        <w:t xml:space="preserve">160 </w:t>
      </w:r>
      <w:r w:rsidR="00E863A5" w:rsidRPr="00987649">
        <w:rPr>
          <w:sz w:val="20"/>
          <w:szCs w:val="20"/>
        </w:rPr>
        <w:t xml:space="preserve">adult patients who were placed on prone therapy from July 2019 to January 2021. </w:t>
      </w:r>
    </w:p>
    <w:p w:rsidR="00E863A5" w:rsidRPr="00987649" w:rsidRDefault="0006656D" w:rsidP="008450B0">
      <w:pPr>
        <w:contextualSpacing/>
        <w:mirrorIndents/>
        <w:jc w:val="both"/>
        <w:rPr>
          <w:sz w:val="20"/>
          <w:szCs w:val="20"/>
        </w:rPr>
      </w:pPr>
      <w:r w:rsidRPr="0006656D">
        <w:rPr>
          <w:b/>
          <w:sz w:val="20"/>
          <w:szCs w:val="20"/>
        </w:rPr>
        <w:t>Main Outcome Measures:</w:t>
      </w:r>
      <w:r w:rsidR="00A541CB" w:rsidRPr="00987649">
        <w:rPr>
          <w:sz w:val="20"/>
          <w:szCs w:val="20"/>
        </w:rPr>
        <w:t xml:space="preserve"> </w:t>
      </w:r>
      <w:r w:rsidR="00E863A5" w:rsidRPr="00987649">
        <w:rPr>
          <w:sz w:val="20"/>
          <w:szCs w:val="20"/>
        </w:rPr>
        <w:t xml:space="preserve">Outcome measures included the development and type of </w:t>
      </w:r>
      <w:r w:rsidRPr="00987649">
        <w:rPr>
          <w:sz w:val="20"/>
          <w:szCs w:val="20"/>
        </w:rPr>
        <w:t>Hospital-Acquired Pressure Injury</w:t>
      </w:r>
      <w:r w:rsidR="00E863A5" w:rsidRPr="00987649">
        <w:rPr>
          <w:sz w:val="20"/>
          <w:szCs w:val="20"/>
        </w:rPr>
        <w:t xml:space="preserve"> (HAPI). Data on mortality, hospital length of stay, improvement in oxygenation status, and COVID infection was also abstracted. </w:t>
      </w:r>
    </w:p>
    <w:p w:rsidR="00E863A5" w:rsidRPr="00987649" w:rsidRDefault="00387B21" w:rsidP="008450B0">
      <w:pPr>
        <w:contextualSpacing/>
        <w:mirrorIndents/>
        <w:jc w:val="both"/>
        <w:rPr>
          <w:sz w:val="20"/>
          <w:szCs w:val="20"/>
        </w:rPr>
      </w:pPr>
      <w:r w:rsidRPr="00387B21">
        <w:rPr>
          <w:b/>
          <w:sz w:val="20"/>
          <w:szCs w:val="20"/>
        </w:rPr>
        <w:t>Results:</w:t>
      </w:r>
      <w:r w:rsidR="00372887" w:rsidRPr="00987649">
        <w:rPr>
          <w:sz w:val="20"/>
          <w:szCs w:val="20"/>
        </w:rPr>
        <w:t xml:space="preserve"> </w:t>
      </w:r>
      <w:r w:rsidR="00E863A5" w:rsidRPr="00987649">
        <w:rPr>
          <w:sz w:val="20"/>
          <w:szCs w:val="20"/>
        </w:rPr>
        <w:t xml:space="preserve">During the study period, 160 patients had prone therapy where, 106 (64.2%) were manually </w:t>
      </w:r>
      <w:proofErr w:type="spellStart"/>
      <w:r w:rsidR="00E863A5" w:rsidRPr="00987649">
        <w:rPr>
          <w:sz w:val="20"/>
          <w:szCs w:val="20"/>
        </w:rPr>
        <w:t>proned</w:t>
      </w:r>
      <w:proofErr w:type="spellEnd"/>
      <w:r w:rsidR="00E863A5" w:rsidRPr="00987649">
        <w:rPr>
          <w:sz w:val="20"/>
          <w:szCs w:val="20"/>
        </w:rPr>
        <w:t xml:space="preserve"> and 54 were </w:t>
      </w:r>
      <w:proofErr w:type="spellStart"/>
      <w:r w:rsidR="00E863A5" w:rsidRPr="00987649">
        <w:rPr>
          <w:sz w:val="20"/>
          <w:szCs w:val="20"/>
        </w:rPr>
        <w:t>proned</w:t>
      </w:r>
      <w:proofErr w:type="spellEnd"/>
      <w:r w:rsidR="00E863A5" w:rsidRPr="00987649">
        <w:rPr>
          <w:sz w:val="20"/>
          <w:szCs w:val="20"/>
        </w:rPr>
        <w:t xml:space="preserve"> using a </w:t>
      </w:r>
      <w:proofErr w:type="spellStart"/>
      <w:r w:rsidR="00E863A5" w:rsidRPr="00987649">
        <w:rPr>
          <w:sz w:val="20"/>
          <w:szCs w:val="20"/>
        </w:rPr>
        <w:t>Rotoprone</w:t>
      </w:r>
      <w:proofErr w:type="spellEnd"/>
      <w:r w:rsidR="00E863A5" w:rsidRPr="00387B21">
        <w:rPr>
          <w:color w:val="FF0000"/>
          <w:sz w:val="20"/>
          <w:szCs w:val="20"/>
          <w:vertAlign w:val="superscript"/>
        </w:rPr>
        <w:t>®</w:t>
      </w:r>
      <w:r w:rsidR="00E863A5" w:rsidRPr="00987649">
        <w:rPr>
          <w:sz w:val="20"/>
          <w:szCs w:val="20"/>
          <w:vertAlign w:val="superscript"/>
        </w:rPr>
        <w:t> </w:t>
      </w:r>
      <w:r w:rsidR="00E863A5" w:rsidRPr="00987649">
        <w:rPr>
          <w:sz w:val="20"/>
          <w:szCs w:val="20"/>
        </w:rPr>
        <w:t xml:space="preserve">bed. A total of 50.1% of patients developed HAPI. Chi square analyses showed no association with the incidence of HAPI using manual </w:t>
      </w:r>
      <w:proofErr w:type="spellStart"/>
      <w:r w:rsidR="00E863A5" w:rsidRPr="00987649">
        <w:rPr>
          <w:sz w:val="20"/>
          <w:szCs w:val="20"/>
        </w:rPr>
        <w:t>proning</w:t>
      </w:r>
      <w:proofErr w:type="spellEnd"/>
      <w:r w:rsidR="00E863A5" w:rsidRPr="00987649">
        <w:rPr>
          <w:sz w:val="20"/>
          <w:szCs w:val="20"/>
        </w:rPr>
        <w:t xml:space="preserve"> or </w:t>
      </w:r>
      <w:proofErr w:type="spellStart"/>
      <w:r w:rsidR="00E863A5" w:rsidRPr="00987649">
        <w:rPr>
          <w:sz w:val="20"/>
          <w:szCs w:val="20"/>
        </w:rPr>
        <w:t>Rotoprone</w:t>
      </w:r>
      <w:proofErr w:type="spellEnd"/>
      <w:r w:rsidR="00E863A5" w:rsidRPr="00387B21">
        <w:rPr>
          <w:color w:val="FF0000"/>
          <w:sz w:val="20"/>
          <w:szCs w:val="20"/>
          <w:vertAlign w:val="superscript"/>
        </w:rPr>
        <w:t>®</w:t>
      </w:r>
      <w:r w:rsidR="00E863A5" w:rsidRPr="00987649">
        <w:rPr>
          <w:sz w:val="20"/>
          <w:szCs w:val="20"/>
          <w:vertAlign w:val="superscript"/>
        </w:rPr>
        <w:t> </w:t>
      </w:r>
      <w:r w:rsidR="00E863A5" w:rsidRPr="00987649">
        <w:rPr>
          <w:sz w:val="20"/>
          <w:szCs w:val="20"/>
        </w:rPr>
        <w:t>bed (</w:t>
      </w:r>
      <w:r w:rsidR="00E863A5" w:rsidRPr="00987649">
        <w:rPr>
          <w:iCs/>
          <w:sz w:val="20"/>
          <w:szCs w:val="20"/>
        </w:rPr>
        <w:t>p</w:t>
      </w:r>
      <w:r w:rsidR="00E863A5" w:rsidRPr="00987649">
        <w:rPr>
          <w:sz w:val="20"/>
          <w:szCs w:val="20"/>
        </w:rPr>
        <w:t xml:space="preserve">= 0.9567). </w:t>
      </w:r>
      <w:r w:rsidR="00893DA7" w:rsidRPr="00987649">
        <w:rPr>
          <w:sz w:val="20"/>
          <w:szCs w:val="20"/>
        </w:rPr>
        <w:t xml:space="preserve">In </w:t>
      </w:r>
      <w:r w:rsidR="00E863A5" w:rsidRPr="00987649">
        <w:rPr>
          <w:sz w:val="20"/>
          <w:szCs w:val="20"/>
        </w:rPr>
        <w:t>patients with COVID-19</w:t>
      </w:r>
      <w:r w:rsidR="00893DA7" w:rsidRPr="00987649">
        <w:rPr>
          <w:sz w:val="20"/>
          <w:szCs w:val="20"/>
        </w:rPr>
        <w:t>,</w:t>
      </w:r>
      <w:r w:rsidR="00E863A5" w:rsidRPr="00987649">
        <w:rPr>
          <w:sz w:val="20"/>
          <w:szCs w:val="20"/>
        </w:rPr>
        <w:t> </w:t>
      </w:r>
      <w:r w:rsidR="00893DA7" w:rsidRPr="00987649">
        <w:rPr>
          <w:sz w:val="20"/>
          <w:szCs w:val="20"/>
        </w:rPr>
        <w:t xml:space="preserve">50% </w:t>
      </w:r>
      <w:r w:rsidR="00E863A5" w:rsidRPr="00987649">
        <w:rPr>
          <w:sz w:val="20"/>
          <w:szCs w:val="20"/>
        </w:rPr>
        <w:t>developed HAPI compared to 44.4% in non-COVID patients (</w:t>
      </w:r>
      <w:r w:rsidR="00E863A5" w:rsidRPr="00987649">
        <w:rPr>
          <w:iCs/>
          <w:sz w:val="20"/>
          <w:szCs w:val="20"/>
        </w:rPr>
        <w:t>p</w:t>
      </w:r>
      <w:r w:rsidR="00E863A5" w:rsidRPr="00987649">
        <w:rPr>
          <w:sz w:val="20"/>
          <w:szCs w:val="20"/>
        </w:rPr>
        <w:t>=0.8462). Deep tissue pressure injuries were the most common type of pressure injury.</w:t>
      </w:r>
    </w:p>
    <w:p w:rsidR="00E863A5" w:rsidRPr="00987649" w:rsidRDefault="002869AC" w:rsidP="008450B0">
      <w:pPr>
        <w:contextualSpacing/>
        <w:mirrorIndents/>
        <w:jc w:val="both"/>
        <w:rPr>
          <w:sz w:val="20"/>
          <w:szCs w:val="20"/>
        </w:rPr>
      </w:pPr>
      <w:r w:rsidRPr="002869AC">
        <w:rPr>
          <w:b/>
          <w:sz w:val="20"/>
          <w:szCs w:val="20"/>
        </w:rPr>
        <w:t>Conclusions:</w:t>
      </w:r>
      <w:r w:rsidR="00CC7A35" w:rsidRPr="00987649">
        <w:rPr>
          <w:sz w:val="20"/>
          <w:szCs w:val="20"/>
        </w:rPr>
        <w:t xml:space="preserve"> </w:t>
      </w:r>
      <w:r w:rsidR="00E863A5" w:rsidRPr="00987649">
        <w:rPr>
          <w:sz w:val="20"/>
          <w:szCs w:val="20"/>
        </w:rPr>
        <w:t xml:space="preserve">There appears to be no advantage using manual versus </w:t>
      </w:r>
      <w:proofErr w:type="spellStart"/>
      <w:r w:rsidR="00E863A5" w:rsidRPr="00987649">
        <w:rPr>
          <w:sz w:val="20"/>
          <w:szCs w:val="20"/>
        </w:rPr>
        <w:t>Rotoprone</w:t>
      </w:r>
      <w:proofErr w:type="spellEnd"/>
      <w:r w:rsidR="00E863A5" w:rsidRPr="003D4DAA">
        <w:rPr>
          <w:color w:val="FF0000"/>
          <w:sz w:val="20"/>
          <w:szCs w:val="20"/>
          <w:vertAlign w:val="superscript"/>
        </w:rPr>
        <w:t>®</w:t>
      </w:r>
      <w:r w:rsidR="00E863A5" w:rsidRPr="00987649">
        <w:rPr>
          <w:sz w:val="20"/>
          <w:szCs w:val="20"/>
        </w:rPr>
        <w:t xml:space="preserve"> bed with regard to pressure injury development in patients with prone therapy. </w:t>
      </w:r>
    </w:p>
    <w:p w:rsidR="00E863A5" w:rsidRPr="00987649" w:rsidRDefault="00E863A5" w:rsidP="008450B0">
      <w:pPr>
        <w:contextualSpacing/>
        <w:mirrorIndents/>
        <w:jc w:val="both"/>
        <w:rPr>
          <w:sz w:val="20"/>
          <w:szCs w:val="20"/>
        </w:rPr>
      </w:pPr>
    </w:p>
    <w:p w:rsidR="00E863A5" w:rsidRPr="00987649" w:rsidRDefault="0039293E" w:rsidP="008450B0">
      <w:pPr>
        <w:contextualSpacing/>
        <w:mirrorIndents/>
        <w:jc w:val="both"/>
        <w:rPr>
          <w:sz w:val="20"/>
          <w:szCs w:val="20"/>
        </w:rPr>
      </w:pPr>
      <w:r w:rsidRPr="0039293E">
        <w:rPr>
          <w:b/>
          <w:sz w:val="22"/>
          <w:szCs w:val="22"/>
        </w:rPr>
        <w:t>Keywords:</w:t>
      </w:r>
      <w:r w:rsidR="007B1F16">
        <w:rPr>
          <w:sz w:val="20"/>
          <w:szCs w:val="20"/>
        </w:rPr>
        <w:t xml:space="preserve"> </w:t>
      </w:r>
      <w:r w:rsidR="00E863A5" w:rsidRPr="00987649">
        <w:rPr>
          <w:sz w:val="20"/>
          <w:szCs w:val="20"/>
        </w:rPr>
        <w:t>Acute respiratory distress syndrome</w:t>
      </w:r>
      <w:r w:rsidR="00F3366C">
        <w:rPr>
          <w:sz w:val="20"/>
          <w:szCs w:val="20"/>
        </w:rPr>
        <w:t>;</w:t>
      </w:r>
      <w:r w:rsidR="000A22C6">
        <w:rPr>
          <w:sz w:val="20"/>
          <w:szCs w:val="20"/>
        </w:rPr>
        <w:t xml:space="preserve"> </w:t>
      </w:r>
      <w:r w:rsidR="000A22C6" w:rsidRPr="00987649">
        <w:rPr>
          <w:sz w:val="20"/>
          <w:szCs w:val="20"/>
        </w:rPr>
        <w:t>COVID-19</w:t>
      </w:r>
      <w:r w:rsidR="000A22C6">
        <w:rPr>
          <w:sz w:val="20"/>
          <w:szCs w:val="20"/>
        </w:rPr>
        <w:t xml:space="preserve">; </w:t>
      </w:r>
      <w:r w:rsidR="00E863A5" w:rsidRPr="00987649">
        <w:rPr>
          <w:sz w:val="20"/>
          <w:szCs w:val="20"/>
        </w:rPr>
        <w:t>Intensive care</w:t>
      </w:r>
      <w:r>
        <w:rPr>
          <w:sz w:val="20"/>
          <w:szCs w:val="20"/>
        </w:rPr>
        <w:t xml:space="preserve">; </w:t>
      </w:r>
      <w:r w:rsidRPr="00987649">
        <w:rPr>
          <w:sz w:val="20"/>
          <w:szCs w:val="20"/>
        </w:rPr>
        <w:t>Pressure injury</w:t>
      </w:r>
      <w:r>
        <w:rPr>
          <w:sz w:val="20"/>
          <w:szCs w:val="20"/>
        </w:rPr>
        <w:t xml:space="preserve">; </w:t>
      </w:r>
      <w:proofErr w:type="gramStart"/>
      <w:r>
        <w:rPr>
          <w:sz w:val="20"/>
          <w:szCs w:val="20"/>
        </w:rPr>
        <w:t>Prone</w:t>
      </w:r>
      <w:proofErr w:type="gramEnd"/>
      <w:r>
        <w:rPr>
          <w:sz w:val="20"/>
          <w:szCs w:val="20"/>
        </w:rPr>
        <w:t xml:space="preserve"> positioning</w:t>
      </w:r>
    </w:p>
    <w:p w:rsidR="00E863A5" w:rsidRPr="00987649" w:rsidRDefault="00E863A5" w:rsidP="008450B0">
      <w:pPr>
        <w:contextualSpacing/>
        <w:mirrorIndents/>
        <w:jc w:val="both"/>
        <w:rPr>
          <w:sz w:val="20"/>
          <w:szCs w:val="20"/>
        </w:rPr>
      </w:pPr>
    </w:p>
    <w:p w:rsidR="00E863A5" w:rsidRPr="00A470F4" w:rsidRDefault="00A470F4" w:rsidP="008450B0">
      <w:pPr>
        <w:contextualSpacing/>
        <w:mirrorIndents/>
        <w:jc w:val="both"/>
        <w:rPr>
          <w:b/>
          <w:sz w:val="22"/>
          <w:szCs w:val="22"/>
        </w:rPr>
      </w:pPr>
      <w:r w:rsidRPr="00A470F4">
        <w:rPr>
          <w:b/>
          <w:sz w:val="22"/>
          <w:szCs w:val="22"/>
        </w:rPr>
        <w:t>Introduction</w:t>
      </w:r>
    </w:p>
    <w:p w:rsidR="00A527BF" w:rsidRDefault="00A527BF" w:rsidP="008450B0">
      <w:pPr>
        <w:contextualSpacing/>
        <w:mirrorIndents/>
        <w:jc w:val="both"/>
        <w:rPr>
          <w:sz w:val="20"/>
          <w:szCs w:val="20"/>
        </w:rPr>
      </w:pPr>
    </w:p>
    <w:p w:rsidR="00E5211B" w:rsidRDefault="00E863A5" w:rsidP="008450B0">
      <w:pPr>
        <w:contextualSpacing/>
        <w:mirrorIndents/>
        <w:jc w:val="both"/>
        <w:rPr>
          <w:sz w:val="20"/>
          <w:szCs w:val="20"/>
        </w:rPr>
      </w:pPr>
      <w:r w:rsidRPr="00987649">
        <w:rPr>
          <w:sz w:val="20"/>
          <w:szCs w:val="20"/>
        </w:rPr>
        <w:t xml:space="preserve">Prone positioning is considered standard care for patients in </w:t>
      </w:r>
      <w:r w:rsidR="00C31385" w:rsidRPr="00987649">
        <w:rPr>
          <w:sz w:val="20"/>
          <w:szCs w:val="20"/>
        </w:rPr>
        <w:t xml:space="preserve">Acute Respiratory Distress Syndrome </w:t>
      </w:r>
      <w:r w:rsidRPr="00987649">
        <w:rPr>
          <w:sz w:val="20"/>
          <w:szCs w:val="20"/>
        </w:rPr>
        <w:t>(ARDS). ARDS manifests as acute inflammation in the lungs causing hypoxia, and in severe cases, carries a mortality of up to 48%</w:t>
      </w:r>
      <w:r w:rsidR="00701665">
        <w:rPr>
          <w:sz w:val="20"/>
          <w:szCs w:val="20"/>
        </w:rPr>
        <w:t xml:space="preserve"> </w:t>
      </w:r>
      <w:r w:rsidR="00701665" w:rsidRPr="00701665">
        <w:rPr>
          <w:color w:val="FF0000"/>
          <w:sz w:val="20"/>
          <w:szCs w:val="20"/>
        </w:rPr>
        <w:t>[1]</w:t>
      </w:r>
      <w:r w:rsidRPr="00987649">
        <w:rPr>
          <w:sz w:val="20"/>
          <w:szCs w:val="20"/>
        </w:rPr>
        <w:t>. Current standard of care for ARDS consists of mechanical ventilation, limiting tidal volume to &lt;6 mL/kg of ideal body weight and plateau pressure of &lt;30 cmH</w:t>
      </w:r>
      <w:r w:rsidRPr="00C31385">
        <w:rPr>
          <w:color w:val="FF0000"/>
          <w:sz w:val="20"/>
          <w:szCs w:val="20"/>
          <w:vertAlign w:val="subscript"/>
        </w:rPr>
        <w:t>2</w:t>
      </w:r>
      <w:r w:rsidRPr="00987649">
        <w:rPr>
          <w:sz w:val="20"/>
          <w:szCs w:val="20"/>
        </w:rPr>
        <w:t xml:space="preserve">O </w:t>
      </w:r>
      <w:r w:rsidR="001A14ED" w:rsidRPr="00A5759C">
        <w:rPr>
          <w:color w:val="FF0000"/>
          <w:sz w:val="20"/>
          <w:szCs w:val="20"/>
        </w:rPr>
        <w:t>[2</w:t>
      </w:r>
      <w:proofErr w:type="gramStart"/>
      <w:r w:rsidR="001C2D21">
        <w:rPr>
          <w:color w:val="FF0000"/>
          <w:sz w:val="20"/>
          <w:szCs w:val="20"/>
        </w:rPr>
        <w:t>,3</w:t>
      </w:r>
      <w:proofErr w:type="gramEnd"/>
      <w:r w:rsidR="001A14ED" w:rsidRPr="00A5759C">
        <w:rPr>
          <w:color w:val="FF0000"/>
          <w:sz w:val="20"/>
          <w:szCs w:val="20"/>
        </w:rPr>
        <w:t>]</w:t>
      </w:r>
      <w:r w:rsidRPr="00987649">
        <w:rPr>
          <w:sz w:val="20"/>
          <w:szCs w:val="20"/>
        </w:rPr>
        <w:t>. In patients with moderate to severe ARDS (defined as PaO</w:t>
      </w:r>
      <w:r w:rsidRPr="00C31385">
        <w:rPr>
          <w:color w:val="FF0000"/>
          <w:sz w:val="20"/>
          <w:szCs w:val="20"/>
          <w:vertAlign w:val="subscript"/>
        </w:rPr>
        <w:t>2</w:t>
      </w:r>
      <w:r w:rsidRPr="00987649">
        <w:rPr>
          <w:sz w:val="20"/>
          <w:szCs w:val="20"/>
        </w:rPr>
        <w:t>/FiO</w:t>
      </w:r>
      <w:r w:rsidRPr="00C31385">
        <w:rPr>
          <w:color w:val="FF0000"/>
          <w:sz w:val="20"/>
          <w:szCs w:val="20"/>
          <w:vertAlign w:val="subscript"/>
        </w:rPr>
        <w:t>2</w:t>
      </w:r>
      <w:r w:rsidRPr="00987649">
        <w:rPr>
          <w:sz w:val="20"/>
          <w:szCs w:val="20"/>
        </w:rPr>
        <w:t xml:space="preserve"> ratio of &lt;150 mmHg), prone positioning is recommended for over 12 hours per day </w:t>
      </w:r>
      <w:r w:rsidR="00DE32D6">
        <w:rPr>
          <w:color w:val="FF0000"/>
          <w:sz w:val="20"/>
          <w:szCs w:val="20"/>
        </w:rPr>
        <w:t>[4</w:t>
      </w:r>
      <w:proofErr w:type="gramStart"/>
      <w:r w:rsidR="004C14C7">
        <w:rPr>
          <w:color w:val="FF0000"/>
          <w:sz w:val="20"/>
          <w:szCs w:val="20"/>
        </w:rPr>
        <w:t>,5</w:t>
      </w:r>
      <w:proofErr w:type="gramEnd"/>
      <w:r w:rsidR="00DE32D6">
        <w:rPr>
          <w:color w:val="FF0000"/>
          <w:sz w:val="20"/>
          <w:szCs w:val="20"/>
        </w:rPr>
        <w:t>]</w:t>
      </w:r>
      <w:r w:rsidRPr="00987649">
        <w:rPr>
          <w:sz w:val="20"/>
          <w:szCs w:val="20"/>
        </w:rPr>
        <w:t xml:space="preserve">. It is postulated that through prone therapy, the perfusion of the ventral lungs is improved, thereby, improving the oxygenation of the patient </w:t>
      </w:r>
      <w:r w:rsidR="00AC7F1D">
        <w:rPr>
          <w:color w:val="FF0000"/>
          <w:sz w:val="20"/>
          <w:szCs w:val="20"/>
        </w:rPr>
        <w:t>[6]</w:t>
      </w:r>
      <w:r w:rsidR="00C95053">
        <w:rPr>
          <w:sz w:val="20"/>
          <w:szCs w:val="20"/>
        </w:rPr>
        <w:t>.</w:t>
      </w:r>
    </w:p>
    <w:p w:rsidR="00C95053" w:rsidRPr="00987649" w:rsidRDefault="00C95053" w:rsidP="008450B0">
      <w:pPr>
        <w:contextualSpacing/>
        <w:mirrorIndents/>
        <w:jc w:val="both"/>
        <w:rPr>
          <w:sz w:val="20"/>
          <w:szCs w:val="20"/>
        </w:rPr>
      </w:pPr>
    </w:p>
    <w:p w:rsidR="00663A53" w:rsidRDefault="00E863A5" w:rsidP="008450B0">
      <w:pPr>
        <w:contextualSpacing/>
        <w:mirrorIndents/>
        <w:jc w:val="both"/>
        <w:rPr>
          <w:sz w:val="20"/>
          <w:szCs w:val="20"/>
        </w:rPr>
      </w:pPr>
      <w:r w:rsidRPr="00987649">
        <w:rPr>
          <w:sz w:val="20"/>
          <w:szCs w:val="20"/>
        </w:rPr>
        <w:t xml:space="preserve">The coronavirus disease 2019 (COVID-19) pandemic has exponentially increased the incidence of ARDS with approximately 28% of COVID patients in the ICU being treated with prone therapy </w:t>
      </w:r>
      <w:r w:rsidR="00F57957">
        <w:rPr>
          <w:color w:val="FF0000"/>
          <w:sz w:val="20"/>
          <w:szCs w:val="20"/>
        </w:rPr>
        <w:t>[7]</w:t>
      </w:r>
      <w:r w:rsidRPr="00987649">
        <w:rPr>
          <w:sz w:val="20"/>
          <w:szCs w:val="20"/>
        </w:rPr>
        <w:t xml:space="preserve">. Although a recent meta-analysis of the use of prone positioning in ARDS found that there was some benefit in decreasing mortality, it was also associated with higher rates of endotracheal tube obstruction and </w:t>
      </w:r>
      <w:r w:rsidR="00843C55" w:rsidRPr="00987649">
        <w:rPr>
          <w:sz w:val="20"/>
          <w:szCs w:val="20"/>
        </w:rPr>
        <w:t>Hospital Acquired Pressure Injury</w:t>
      </w:r>
      <w:r w:rsidRPr="00987649">
        <w:rPr>
          <w:sz w:val="20"/>
          <w:szCs w:val="20"/>
        </w:rPr>
        <w:t xml:space="preserve"> </w:t>
      </w:r>
      <w:r w:rsidRPr="00987649">
        <w:rPr>
          <w:sz w:val="20"/>
          <w:szCs w:val="20"/>
        </w:rPr>
        <w:lastRenderedPageBreak/>
        <w:t>(HAPI)</w:t>
      </w:r>
      <w:r w:rsidR="00843C55">
        <w:rPr>
          <w:sz w:val="20"/>
          <w:szCs w:val="20"/>
        </w:rPr>
        <w:t xml:space="preserve"> </w:t>
      </w:r>
      <w:r w:rsidR="00F036FC">
        <w:rPr>
          <w:color w:val="FF0000"/>
          <w:sz w:val="20"/>
          <w:szCs w:val="20"/>
        </w:rPr>
        <w:t>[8]</w:t>
      </w:r>
      <w:r w:rsidRPr="00987649">
        <w:rPr>
          <w:sz w:val="20"/>
          <w:szCs w:val="20"/>
        </w:rPr>
        <w:t xml:space="preserve">. The literature has shown that up to 57% of patients who had prone positioning developed pressure ulcers </w:t>
      </w:r>
      <w:r w:rsidR="00AE2794">
        <w:rPr>
          <w:color w:val="FF0000"/>
          <w:sz w:val="20"/>
          <w:szCs w:val="20"/>
        </w:rPr>
        <w:t>[9</w:t>
      </w:r>
      <w:proofErr w:type="gramStart"/>
      <w:r w:rsidR="002C4979">
        <w:rPr>
          <w:color w:val="FF0000"/>
          <w:sz w:val="20"/>
          <w:szCs w:val="20"/>
        </w:rPr>
        <w:t>,10</w:t>
      </w:r>
      <w:proofErr w:type="gramEnd"/>
      <w:r w:rsidR="00AE2794">
        <w:rPr>
          <w:color w:val="FF0000"/>
          <w:sz w:val="20"/>
          <w:szCs w:val="20"/>
        </w:rPr>
        <w:t>]</w:t>
      </w:r>
      <w:r w:rsidR="00663A53">
        <w:rPr>
          <w:sz w:val="20"/>
          <w:szCs w:val="20"/>
        </w:rPr>
        <w:t>.</w:t>
      </w:r>
    </w:p>
    <w:p w:rsidR="00663A53" w:rsidRDefault="00663A53" w:rsidP="008450B0">
      <w:pPr>
        <w:contextualSpacing/>
        <w:mirrorIndents/>
        <w:jc w:val="both"/>
        <w:rPr>
          <w:sz w:val="20"/>
          <w:szCs w:val="20"/>
        </w:rPr>
      </w:pPr>
    </w:p>
    <w:p w:rsidR="00E5211B" w:rsidRPr="00987649" w:rsidRDefault="00E863A5" w:rsidP="008450B0">
      <w:pPr>
        <w:contextualSpacing/>
        <w:mirrorIndents/>
        <w:jc w:val="both"/>
        <w:rPr>
          <w:sz w:val="20"/>
          <w:szCs w:val="20"/>
        </w:rPr>
      </w:pPr>
      <w:r w:rsidRPr="00987649">
        <w:rPr>
          <w:sz w:val="20"/>
          <w:szCs w:val="20"/>
        </w:rPr>
        <w:t>These pressure injuries can occur in various locations such as the face, thorax, and trochanter</w:t>
      </w:r>
      <w:r w:rsidR="00A32097">
        <w:rPr>
          <w:sz w:val="20"/>
          <w:szCs w:val="20"/>
        </w:rPr>
        <w:t xml:space="preserve"> </w:t>
      </w:r>
      <w:r w:rsidR="003E7E9D">
        <w:rPr>
          <w:color w:val="FF0000"/>
          <w:sz w:val="20"/>
          <w:szCs w:val="20"/>
        </w:rPr>
        <w:t>[11</w:t>
      </w:r>
      <w:proofErr w:type="gramStart"/>
      <w:r w:rsidR="00A32097">
        <w:rPr>
          <w:color w:val="FF0000"/>
          <w:sz w:val="20"/>
          <w:szCs w:val="20"/>
        </w:rPr>
        <w:t>,12</w:t>
      </w:r>
      <w:proofErr w:type="gramEnd"/>
      <w:r w:rsidR="003E7E9D">
        <w:rPr>
          <w:color w:val="FF0000"/>
          <w:sz w:val="20"/>
          <w:szCs w:val="20"/>
        </w:rPr>
        <w:t>]</w:t>
      </w:r>
      <w:r w:rsidRPr="00987649">
        <w:rPr>
          <w:sz w:val="20"/>
          <w:szCs w:val="20"/>
        </w:rPr>
        <w:t>.The study of these complications is even more critical given the ongoing COVID-19 pandemic.</w:t>
      </w:r>
      <w:r w:rsidR="00AE6041">
        <w:rPr>
          <w:sz w:val="20"/>
          <w:szCs w:val="20"/>
        </w:rPr>
        <w:t xml:space="preserve"> </w:t>
      </w:r>
      <w:r w:rsidRPr="00987649">
        <w:rPr>
          <w:sz w:val="20"/>
          <w:szCs w:val="20"/>
        </w:rPr>
        <w:t>Placing a patient in the prone position safely is a labor intensive task that requires coordination with a team of staff to prevent dislodgement of lines and tubes as well as mitigation strategies for prevention of HAPI</w:t>
      </w:r>
      <w:r w:rsidR="00B06965">
        <w:rPr>
          <w:sz w:val="20"/>
          <w:szCs w:val="20"/>
        </w:rPr>
        <w:t xml:space="preserve"> </w:t>
      </w:r>
      <w:r w:rsidR="006A3BE6">
        <w:rPr>
          <w:color w:val="FF0000"/>
          <w:sz w:val="20"/>
          <w:szCs w:val="20"/>
        </w:rPr>
        <w:t>[7</w:t>
      </w:r>
      <w:proofErr w:type="gramStart"/>
      <w:r w:rsidR="004E2BDB">
        <w:rPr>
          <w:color w:val="FF0000"/>
          <w:sz w:val="20"/>
          <w:szCs w:val="20"/>
        </w:rPr>
        <w:t>,13</w:t>
      </w:r>
      <w:proofErr w:type="gramEnd"/>
      <w:r w:rsidR="006A3BE6">
        <w:rPr>
          <w:color w:val="FF0000"/>
          <w:sz w:val="20"/>
          <w:szCs w:val="20"/>
        </w:rPr>
        <w:t>]</w:t>
      </w:r>
      <w:r w:rsidRPr="00987649">
        <w:rPr>
          <w:sz w:val="20"/>
          <w:szCs w:val="20"/>
        </w:rPr>
        <w:t>. Prone positioning can be achieved using a specialized bed frame that turns the patient automatically or can be done manually using a team of staff to place the patient in and out of the position as ordered</w:t>
      </w:r>
      <w:r w:rsidR="007E376F">
        <w:rPr>
          <w:sz w:val="20"/>
          <w:szCs w:val="20"/>
        </w:rPr>
        <w:t xml:space="preserve"> </w:t>
      </w:r>
      <w:r w:rsidR="008A0562">
        <w:rPr>
          <w:color w:val="FF0000"/>
          <w:sz w:val="20"/>
          <w:szCs w:val="20"/>
        </w:rPr>
        <w:t>[13]</w:t>
      </w:r>
      <w:r w:rsidRPr="00987649">
        <w:rPr>
          <w:sz w:val="20"/>
          <w:szCs w:val="20"/>
        </w:rPr>
        <w:t xml:space="preserve">. </w:t>
      </w:r>
      <w:r w:rsidR="00C77F4C" w:rsidRPr="00987649">
        <w:rPr>
          <w:sz w:val="20"/>
          <w:szCs w:val="20"/>
        </w:rPr>
        <w:t>With increased ICU patient</w:t>
      </w:r>
      <w:r w:rsidR="001D5610" w:rsidRPr="00987649">
        <w:rPr>
          <w:sz w:val="20"/>
          <w:szCs w:val="20"/>
        </w:rPr>
        <w:t>s requiring prone positioning</w:t>
      </w:r>
      <w:r w:rsidR="00C77F4C" w:rsidRPr="00987649">
        <w:rPr>
          <w:sz w:val="20"/>
          <w:szCs w:val="20"/>
        </w:rPr>
        <w:t xml:space="preserve"> due to the pandemic, both modalities become necessary due to specialty bed shortages. </w:t>
      </w:r>
      <w:r w:rsidRPr="00987649">
        <w:rPr>
          <w:sz w:val="20"/>
          <w:szCs w:val="20"/>
        </w:rPr>
        <w:t xml:space="preserve">However, little is known about the impact of either of these methods on the development of HAPI. </w:t>
      </w:r>
      <w:r w:rsidR="00C77F4C" w:rsidRPr="00987649">
        <w:rPr>
          <w:sz w:val="20"/>
          <w:szCs w:val="20"/>
        </w:rPr>
        <w:t xml:space="preserve">Prior to the pandemic, the </w:t>
      </w:r>
      <w:proofErr w:type="spellStart"/>
      <w:r w:rsidR="00C77F4C" w:rsidRPr="00987649">
        <w:rPr>
          <w:sz w:val="20"/>
          <w:szCs w:val="20"/>
        </w:rPr>
        <w:t>Rotoprone</w:t>
      </w:r>
      <w:proofErr w:type="spellEnd"/>
      <w:r w:rsidR="00C77F4C" w:rsidRPr="00843C55">
        <w:rPr>
          <w:color w:val="FF0000"/>
          <w:sz w:val="20"/>
          <w:szCs w:val="20"/>
          <w:vertAlign w:val="superscript"/>
        </w:rPr>
        <w:t>®</w:t>
      </w:r>
      <w:r w:rsidR="00C77F4C" w:rsidRPr="00987649">
        <w:rPr>
          <w:sz w:val="20"/>
          <w:szCs w:val="20"/>
        </w:rPr>
        <w:t xml:space="preserve"> bed was used exclusively, therefore, we wanted to determine if one modality </w:t>
      </w:r>
      <w:r w:rsidR="001D5610" w:rsidRPr="00987649">
        <w:rPr>
          <w:sz w:val="20"/>
          <w:szCs w:val="20"/>
        </w:rPr>
        <w:t>was superior in preventing</w:t>
      </w:r>
      <w:r w:rsidR="00C77F4C" w:rsidRPr="00987649">
        <w:rPr>
          <w:sz w:val="20"/>
          <w:szCs w:val="20"/>
        </w:rPr>
        <w:t xml:space="preserve"> HAPI. </w:t>
      </w:r>
      <w:r w:rsidRPr="00987649">
        <w:rPr>
          <w:sz w:val="20"/>
          <w:szCs w:val="20"/>
        </w:rPr>
        <w:t xml:space="preserve">Our study compared patient outcomes, specifically the development of HAPI, between the </w:t>
      </w:r>
      <w:proofErr w:type="spellStart"/>
      <w:r w:rsidRPr="00987649">
        <w:rPr>
          <w:sz w:val="20"/>
          <w:szCs w:val="20"/>
        </w:rPr>
        <w:t>Rotoprone</w:t>
      </w:r>
      <w:proofErr w:type="spellEnd"/>
      <w:r w:rsidRPr="00843C55">
        <w:rPr>
          <w:color w:val="FF0000"/>
          <w:sz w:val="20"/>
          <w:szCs w:val="20"/>
          <w:vertAlign w:val="superscript"/>
        </w:rPr>
        <w:t>®</w:t>
      </w:r>
      <w:r w:rsidRPr="00987649">
        <w:rPr>
          <w:sz w:val="20"/>
          <w:szCs w:val="20"/>
          <w:vertAlign w:val="superscript"/>
        </w:rPr>
        <w:t xml:space="preserve"> </w:t>
      </w:r>
      <w:r w:rsidRPr="00987649">
        <w:rPr>
          <w:sz w:val="20"/>
          <w:szCs w:val="20"/>
        </w:rPr>
        <w:t xml:space="preserve">bed and the manual method of prone therapy in patients with ARDS at a community hospital. </w:t>
      </w:r>
    </w:p>
    <w:p w:rsidR="00C77F4C" w:rsidRPr="00987649" w:rsidRDefault="00C77F4C" w:rsidP="008450B0">
      <w:pPr>
        <w:contextualSpacing/>
        <w:mirrorIndents/>
        <w:jc w:val="both"/>
        <w:rPr>
          <w:sz w:val="20"/>
          <w:szCs w:val="20"/>
        </w:rPr>
      </w:pPr>
    </w:p>
    <w:p w:rsidR="00E863A5" w:rsidRPr="00087A4D" w:rsidRDefault="008C4A4F" w:rsidP="008450B0">
      <w:pPr>
        <w:contextualSpacing/>
        <w:mirrorIndents/>
        <w:jc w:val="both"/>
        <w:rPr>
          <w:b/>
          <w:sz w:val="22"/>
          <w:szCs w:val="22"/>
        </w:rPr>
      </w:pPr>
      <w:r w:rsidRPr="00087A4D">
        <w:rPr>
          <w:b/>
          <w:sz w:val="22"/>
          <w:szCs w:val="22"/>
        </w:rPr>
        <w:t>Methods</w:t>
      </w:r>
    </w:p>
    <w:p w:rsidR="00C95053" w:rsidRPr="00987649" w:rsidRDefault="00C95053" w:rsidP="008450B0">
      <w:pPr>
        <w:contextualSpacing/>
        <w:mirrorIndents/>
        <w:jc w:val="both"/>
        <w:rPr>
          <w:sz w:val="20"/>
          <w:szCs w:val="20"/>
        </w:rPr>
      </w:pPr>
    </w:p>
    <w:p w:rsidR="0023457D" w:rsidRPr="0023457D" w:rsidRDefault="0023457D" w:rsidP="008450B0">
      <w:pPr>
        <w:contextualSpacing/>
        <w:mirrorIndents/>
        <w:jc w:val="both"/>
        <w:rPr>
          <w:b/>
          <w:sz w:val="20"/>
          <w:szCs w:val="20"/>
        </w:rPr>
      </w:pPr>
      <w:r w:rsidRPr="0023457D">
        <w:rPr>
          <w:b/>
          <w:sz w:val="20"/>
          <w:szCs w:val="20"/>
        </w:rPr>
        <w:t>Research Objectives</w:t>
      </w:r>
    </w:p>
    <w:p w:rsidR="0023457D" w:rsidRDefault="0023457D" w:rsidP="008450B0">
      <w:pPr>
        <w:contextualSpacing/>
        <w:mirrorIndents/>
        <w:jc w:val="both"/>
        <w:rPr>
          <w:sz w:val="20"/>
          <w:szCs w:val="20"/>
        </w:rPr>
      </w:pPr>
    </w:p>
    <w:p w:rsidR="00E863A5" w:rsidRDefault="00E863A5" w:rsidP="008450B0">
      <w:pPr>
        <w:contextualSpacing/>
        <w:mirrorIndents/>
        <w:jc w:val="both"/>
        <w:rPr>
          <w:bCs/>
          <w:sz w:val="20"/>
          <w:szCs w:val="20"/>
        </w:rPr>
      </w:pPr>
      <w:r w:rsidRPr="00987649">
        <w:rPr>
          <w:bCs/>
          <w:sz w:val="20"/>
          <w:szCs w:val="20"/>
        </w:rPr>
        <w:t xml:space="preserve">The objective of our study was to compare the incidence of HAPI between </w:t>
      </w:r>
      <w:proofErr w:type="spellStart"/>
      <w:r w:rsidRPr="00987649">
        <w:rPr>
          <w:bCs/>
          <w:sz w:val="20"/>
          <w:szCs w:val="20"/>
        </w:rPr>
        <w:t>Rotoprone</w:t>
      </w:r>
      <w:proofErr w:type="spellEnd"/>
      <w:r w:rsidR="00C77F4C" w:rsidRPr="00760447">
        <w:rPr>
          <w:color w:val="FF0000"/>
          <w:sz w:val="20"/>
          <w:szCs w:val="20"/>
          <w:vertAlign w:val="superscript"/>
        </w:rPr>
        <w:t>®</w:t>
      </w:r>
      <w:r w:rsidRPr="00987649">
        <w:rPr>
          <w:bCs/>
          <w:sz w:val="20"/>
          <w:szCs w:val="20"/>
        </w:rPr>
        <w:t xml:space="preserve"> bed and manual method of prone therapy.</w:t>
      </w:r>
      <w:r w:rsidR="00AE6041">
        <w:rPr>
          <w:bCs/>
          <w:sz w:val="20"/>
          <w:szCs w:val="20"/>
        </w:rPr>
        <w:t xml:space="preserve"> </w:t>
      </w:r>
      <w:r w:rsidRPr="00987649">
        <w:rPr>
          <w:bCs/>
          <w:sz w:val="20"/>
          <w:szCs w:val="20"/>
        </w:rPr>
        <w:t xml:space="preserve">Furthermore, the study compared the mortality rates between these two methods of </w:t>
      </w:r>
      <w:proofErr w:type="spellStart"/>
      <w:r w:rsidRPr="00987649">
        <w:rPr>
          <w:bCs/>
          <w:sz w:val="20"/>
          <w:szCs w:val="20"/>
        </w:rPr>
        <w:t>proning</w:t>
      </w:r>
      <w:proofErr w:type="spellEnd"/>
      <w:r w:rsidRPr="00987649">
        <w:rPr>
          <w:bCs/>
          <w:sz w:val="20"/>
          <w:szCs w:val="20"/>
        </w:rPr>
        <w:t xml:space="preserve"> and the effec</w:t>
      </w:r>
      <w:r w:rsidR="008C4A4F">
        <w:rPr>
          <w:bCs/>
          <w:sz w:val="20"/>
          <w:szCs w:val="20"/>
        </w:rPr>
        <w:t>t of COVID on HAPI development.</w:t>
      </w:r>
    </w:p>
    <w:p w:rsidR="008C4A4F" w:rsidRPr="00987649" w:rsidRDefault="008C4A4F" w:rsidP="008450B0">
      <w:pPr>
        <w:contextualSpacing/>
        <w:mirrorIndents/>
        <w:jc w:val="both"/>
        <w:rPr>
          <w:sz w:val="20"/>
          <w:szCs w:val="20"/>
        </w:rPr>
      </w:pPr>
    </w:p>
    <w:p w:rsidR="00760447" w:rsidRPr="007C5ECA" w:rsidRDefault="00E863A5" w:rsidP="008450B0">
      <w:pPr>
        <w:contextualSpacing/>
        <w:mirrorIndents/>
        <w:jc w:val="both"/>
        <w:rPr>
          <w:b/>
          <w:sz w:val="20"/>
          <w:szCs w:val="20"/>
        </w:rPr>
      </w:pPr>
      <w:r w:rsidRPr="007C5ECA">
        <w:rPr>
          <w:b/>
          <w:sz w:val="20"/>
          <w:szCs w:val="20"/>
        </w:rPr>
        <w:t>Setting</w:t>
      </w:r>
    </w:p>
    <w:p w:rsidR="00760447" w:rsidRDefault="00760447" w:rsidP="008450B0">
      <w:pPr>
        <w:contextualSpacing/>
        <w:mirrorIndents/>
        <w:jc w:val="both"/>
        <w:rPr>
          <w:sz w:val="20"/>
          <w:szCs w:val="20"/>
        </w:rPr>
      </w:pPr>
    </w:p>
    <w:p w:rsidR="00E863A5" w:rsidRDefault="00E863A5" w:rsidP="008450B0">
      <w:pPr>
        <w:contextualSpacing/>
        <w:mirrorIndents/>
        <w:jc w:val="both"/>
        <w:rPr>
          <w:sz w:val="20"/>
          <w:szCs w:val="20"/>
        </w:rPr>
      </w:pPr>
      <w:r w:rsidRPr="00987649">
        <w:rPr>
          <w:sz w:val="20"/>
          <w:szCs w:val="20"/>
        </w:rPr>
        <w:t xml:space="preserve">This was a retrospective cohort of patients being treated for ARDS and receiving prone therapy. The study setting was a 355-bed, not for profit regional hospital in California, specializing in cardiovascular care, women and children’s services including </w:t>
      </w:r>
      <w:r w:rsidR="00C95A31" w:rsidRPr="00987649">
        <w:rPr>
          <w:sz w:val="20"/>
          <w:szCs w:val="20"/>
        </w:rPr>
        <w:t xml:space="preserve">Neonatal Intensive Care </w:t>
      </w:r>
      <w:r w:rsidRPr="00987649">
        <w:rPr>
          <w:sz w:val="20"/>
          <w:szCs w:val="20"/>
        </w:rPr>
        <w:t xml:space="preserve">(NICU), and 24-hour emergency service serving a diverse population. The hospital has four adult ICUs consisting of 39 beds, with 24/7 intensivist coverage. The hospital had 18,095 admissions in 2020 with 1600 being COVID-19 related. This study spanned a period of time in which there were two major surges of the COVID-19 pandemic. Initially, patients requiring prone therapy were placed on </w:t>
      </w:r>
      <w:proofErr w:type="spellStart"/>
      <w:r w:rsidRPr="00987649">
        <w:rPr>
          <w:sz w:val="20"/>
          <w:szCs w:val="20"/>
        </w:rPr>
        <w:t>Rotoprone</w:t>
      </w:r>
      <w:proofErr w:type="spellEnd"/>
      <w:r w:rsidRPr="00C95A31">
        <w:rPr>
          <w:color w:val="FF0000"/>
          <w:sz w:val="20"/>
          <w:szCs w:val="20"/>
          <w:vertAlign w:val="superscript"/>
        </w:rPr>
        <w:t>®</w:t>
      </w:r>
      <w:r w:rsidRPr="00987649">
        <w:rPr>
          <w:sz w:val="20"/>
          <w:szCs w:val="20"/>
          <w:vertAlign w:val="superscript"/>
        </w:rPr>
        <w:t xml:space="preserve"> </w:t>
      </w:r>
      <w:r w:rsidRPr="00987649">
        <w:rPr>
          <w:sz w:val="20"/>
          <w:szCs w:val="20"/>
        </w:rPr>
        <w:t>beds</w:t>
      </w:r>
      <w:r w:rsidR="001D5610" w:rsidRPr="00987649">
        <w:rPr>
          <w:sz w:val="20"/>
          <w:szCs w:val="20"/>
        </w:rPr>
        <w:t xml:space="preserve"> which are utilized to facilitate positioning</w:t>
      </w:r>
      <w:r w:rsidRPr="00987649">
        <w:rPr>
          <w:sz w:val="20"/>
          <w:szCs w:val="20"/>
        </w:rPr>
        <w:t xml:space="preserve">. Due to the increase in demand for these beds during the pandemic, patients were manually </w:t>
      </w:r>
      <w:proofErr w:type="spellStart"/>
      <w:r w:rsidRPr="00987649">
        <w:rPr>
          <w:sz w:val="20"/>
          <w:szCs w:val="20"/>
        </w:rPr>
        <w:t>proned</w:t>
      </w:r>
      <w:proofErr w:type="spellEnd"/>
      <w:r w:rsidRPr="00987649">
        <w:rPr>
          <w:sz w:val="20"/>
          <w:szCs w:val="20"/>
        </w:rPr>
        <w:t xml:space="preserve"> later due to the inability to source these beds. The hospital uses evidence based protocols for HAPI prevention with prone positioning by Elsevier Incorporated that uses current national guidelines. The protocols include the application of a soft silicone multilayer foam dressing to the face and all bony prominence areas (e.g., shoulders, chest, iliac crest, elbows, </w:t>
      </w:r>
      <w:proofErr w:type="gramStart"/>
      <w:r w:rsidRPr="00987649">
        <w:rPr>
          <w:sz w:val="20"/>
          <w:szCs w:val="20"/>
        </w:rPr>
        <w:t>tibia</w:t>
      </w:r>
      <w:proofErr w:type="gramEnd"/>
      <w:r w:rsidRPr="00987649">
        <w:rPr>
          <w:sz w:val="20"/>
          <w:szCs w:val="20"/>
        </w:rPr>
        <w:t>). Thin foam dressings are also placed under all medical devices</w:t>
      </w:r>
      <w:r w:rsidR="00C95A31">
        <w:rPr>
          <w:sz w:val="20"/>
          <w:szCs w:val="20"/>
        </w:rPr>
        <w:t xml:space="preserve"> </w:t>
      </w:r>
      <w:r w:rsidR="00EB66F8">
        <w:rPr>
          <w:color w:val="FF0000"/>
          <w:sz w:val="20"/>
          <w:szCs w:val="20"/>
        </w:rPr>
        <w:t>[14]</w:t>
      </w:r>
      <w:r w:rsidRPr="00987649">
        <w:rPr>
          <w:sz w:val="20"/>
          <w:szCs w:val="20"/>
        </w:rPr>
        <w:t xml:space="preserve">. </w:t>
      </w:r>
      <w:r w:rsidR="00582A4D" w:rsidRPr="00987649">
        <w:rPr>
          <w:sz w:val="20"/>
          <w:szCs w:val="20"/>
        </w:rPr>
        <w:t xml:space="preserve">The protocols were used for all patients regardless of </w:t>
      </w:r>
      <w:r w:rsidR="001D2906" w:rsidRPr="00987649">
        <w:rPr>
          <w:sz w:val="20"/>
          <w:szCs w:val="20"/>
        </w:rPr>
        <w:t xml:space="preserve">the </w:t>
      </w:r>
      <w:r w:rsidR="00582A4D" w:rsidRPr="00987649">
        <w:rPr>
          <w:sz w:val="20"/>
          <w:szCs w:val="20"/>
        </w:rPr>
        <w:t xml:space="preserve">method of </w:t>
      </w:r>
      <w:proofErr w:type="spellStart"/>
      <w:r w:rsidR="00582A4D" w:rsidRPr="00987649">
        <w:rPr>
          <w:sz w:val="20"/>
          <w:szCs w:val="20"/>
        </w:rPr>
        <w:t>proning</w:t>
      </w:r>
      <w:proofErr w:type="spellEnd"/>
      <w:r w:rsidR="00582A4D" w:rsidRPr="00987649">
        <w:rPr>
          <w:sz w:val="20"/>
          <w:szCs w:val="20"/>
        </w:rPr>
        <w:t xml:space="preserve">. </w:t>
      </w:r>
      <w:r w:rsidRPr="00987649">
        <w:rPr>
          <w:sz w:val="20"/>
          <w:szCs w:val="20"/>
        </w:rPr>
        <w:t xml:space="preserve">The hospital employs wound care nurses who are responsible for evaluating and staging the wounds according to the National Pressure Injury Advisory Panel (NPIAP) guidelines </w:t>
      </w:r>
      <w:r w:rsidR="00461FE8">
        <w:rPr>
          <w:color w:val="FF0000"/>
          <w:sz w:val="20"/>
          <w:szCs w:val="20"/>
        </w:rPr>
        <w:t>[15]</w:t>
      </w:r>
      <w:r w:rsidRPr="00987649">
        <w:rPr>
          <w:sz w:val="20"/>
          <w:szCs w:val="20"/>
        </w:rPr>
        <w:t>.</w:t>
      </w:r>
    </w:p>
    <w:p w:rsidR="008C4A4F" w:rsidRPr="00987649" w:rsidRDefault="008C4A4F" w:rsidP="008450B0">
      <w:pPr>
        <w:contextualSpacing/>
        <w:mirrorIndents/>
        <w:jc w:val="both"/>
        <w:rPr>
          <w:sz w:val="20"/>
          <w:szCs w:val="20"/>
        </w:rPr>
      </w:pPr>
    </w:p>
    <w:p w:rsidR="00CF574D" w:rsidRPr="007E6A99" w:rsidRDefault="00E863A5" w:rsidP="008450B0">
      <w:pPr>
        <w:contextualSpacing/>
        <w:mirrorIndents/>
        <w:jc w:val="both"/>
        <w:rPr>
          <w:b/>
          <w:sz w:val="20"/>
          <w:szCs w:val="20"/>
        </w:rPr>
      </w:pPr>
      <w:r w:rsidRPr="007E6A99">
        <w:rPr>
          <w:b/>
          <w:bCs/>
          <w:sz w:val="20"/>
          <w:szCs w:val="20"/>
        </w:rPr>
        <w:t>Ethical Approval</w:t>
      </w:r>
    </w:p>
    <w:p w:rsidR="00CF574D" w:rsidRDefault="00CF574D" w:rsidP="008450B0">
      <w:pPr>
        <w:contextualSpacing/>
        <w:mirrorIndents/>
        <w:jc w:val="both"/>
        <w:rPr>
          <w:sz w:val="20"/>
          <w:szCs w:val="20"/>
        </w:rPr>
      </w:pPr>
    </w:p>
    <w:p w:rsidR="008C4A4F" w:rsidRDefault="00E863A5" w:rsidP="008450B0">
      <w:pPr>
        <w:contextualSpacing/>
        <w:mirrorIndents/>
        <w:jc w:val="both"/>
        <w:rPr>
          <w:sz w:val="20"/>
          <w:szCs w:val="20"/>
        </w:rPr>
      </w:pPr>
      <w:r w:rsidRPr="00987649">
        <w:rPr>
          <w:sz w:val="20"/>
          <w:szCs w:val="20"/>
        </w:rPr>
        <w:t>Institutional Review Board oversight approval was obtained to conduct this study.</w:t>
      </w:r>
      <w:r w:rsidR="00AE6041">
        <w:rPr>
          <w:sz w:val="20"/>
          <w:szCs w:val="20"/>
        </w:rPr>
        <w:t xml:space="preserve"> </w:t>
      </w:r>
      <w:r w:rsidRPr="00987649">
        <w:rPr>
          <w:sz w:val="20"/>
          <w:szCs w:val="20"/>
        </w:rPr>
        <w:t>IRB #: CANV DHIRB-2020-568.</w:t>
      </w:r>
    </w:p>
    <w:p w:rsidR="006A03C2" w:rsidRPr="00987649" w:rsidRDefault="006A03C2" w:rsidP="008450B0">
      <w:pPr>
        <w:contextualSpacing/>
        <w:mirrorIndents/>
        <w:jc w:val="both"/>
        <w:rPr>
          <w:sz w:val="20"/>
          <w:szCs w:val="20"/>
        </w:rPr>
      </w:pPr>
    </w:p>
    <w:p w:rsidR="00352879" w:rsidRPr="00A05F28" w:rsidRDefault="00352879" w:rsidP="008450B0">
      <w:pPr>
        <w:contextualSpacing/>
        <w:mirrorIndents/>
        <w:jc w:val="both"/>
        <w:rPr>
          <w:b/>
          <w:sz w:val="20"/>
          <w:szCs w:val="20"/>
        </w:rPr>
      </w:pPr>
      <w:r w:rsidRPr="00A05F28">
        <w:rPr>
          <w:b/>
          <w:sz w:val="20"/>
          <w:szCs w:val="20"/>
        </w:rPr>
        <w:t>Participants</w:t>
      </w:r>
    </w:p>
    <w:p w:rsidR="00352879" w:rsidRDefault="00352879" w:rsidP="008450B0">
      <w:pPr>
        <w:contextualSpacing/>
        <w:mirrorIndents/>
        <w:jc w:val="both"/>
        <w:rPr>
          <w:sz w:val="20"/>
          <w:szCs w:val="20"/>
        </w:rPr>
      </w:pPr>
    </w:p>
    <w:p w:rsidR="00E863A5" w:rsidRDefault="00E863A5" w:rsidP="008450B0">
      <w:pPr>
        <w:contextualSpacing/>
        <w:mirrorIndents/>
        <w:jc w:val="both"/>
        <w:rPr>
          <w:sz w:val="20"/>
          <w:szCs w:val="20"/>
        </w:rPr>
      </w:pPr>
      <w:r w:rsidRPr="00987649">
        <w:rPr>
          <w:sz w:val="20"/>
          <w:szCs w:val="20"/>
        </w:rPr>
        <w:t xml:space="preserve">Adult patients with International Classification of Diseases (ICD) 10 Code for ARDS, ICD 10 Code for COVID-19, and patients who were placed on prone therapy for greater than 24 hours and were admitted to one of four adult ICUs from July 2019 to January 2021. </w:t>
      </w:r>
      <w:r w:rsidR="00C77F4C" w:rsidRPr="00987649">
        <w:rPr>
          <w:sz w:val="20"/>
          <w:szCs w:val="20"/>
        </w:rPr>
        <w:t xml:space="preserve">All patients were treated per ARDS protocol similarly except were either </w:t>
      </w:r>
      <w:proofErr w:type="spellStart"/>
      <w:r w:rsidR="00C77F4C" w:rsidRPr="00987649">
        <w:rPr>
          <w:sz w:val="20"/>
          <w:szCs w:val="20"/>
        </w:rPr>
        <w:t>proned</w:t>
      </w:r>
      <w:proofErr w:type="spellEnd"/>
      <w:r w:rsidR="00C77F4C" w:rsidRPr="00987649">
        <w:rPr>
          <w:sz w:val="20"/>
          <w:szCs w:val="20"/>
        </w:rPr>
        <w:t xml:space="preserve"> manually or automatically utilizing the </w:t>
      </w:r>
      <w:proofErr w:type="spellStart"/>
      <w:r w:rsidR="00C77F4C" w:rsidRPr="00987649">
        <w:rPr>
          <w:sz w:val="20"/>
          <w:szCs w:val="20"/>
        </w:rPr>
        <w:t>Rotaprone</w:t>
      </w:r>
      <w:proofErr w:type="spellEnd"/>
      <w:r w:rsidR="00C77F4C" w:rsidRPr="00987649">
        <w:rPr>
          <w:sz w:val="20"/>
          <w:szCs w:val="20"/>
        </w:rPr>
        <w:t xml:space="preserve"> bed</w:t>
      </w:r>
      <w:r w:rsidR="001D5610" w:rsidRPr="00987649">
        <w:rPr>
          <w:sz w:val="20"/>
          <w:szCs w:val="20"/>
        </w:rPr>
        <w:t>.</w:t>
      </w:r>
      <w:r w:rsidR="00C77F4C" w:rsidRPr="00987649">
        <w:rPr>
          <w:sz w:val="20"/>
          <w:szCs w:val="20"/>
        </w:rPr>
        <w:t xml:space="preserve"> </w:t>
      </w:r>
      <w:r w:rsidRPr="00987649">
        <w:rPr>
          <w:sz w:val="20"/>
          <w:szCs w:val="20"/>
        </w:rPr>
        <w:t>A total of 231 patients were identified a</w:t>
      </w:r>
      <w:r w:rsidR="008C4A4F">
        <w:rPr>
          <w:sz w:val="20"/>
          <w:szCs w:val="20"/>
        </w:rPr>
        <w:t>ccording to the criteria above.</w:t>
      </w:r>
    </w:p>
    <w:p w:rsidR="008C4A4F" w:rsidRPr="00987649" w:rsidRDefault="008C4A4F" w:rsidP="008450B0">
      <w:pPr>
        <w:contextualSpacing/>
        <w:mirrorIndents/>
        <w:jc w:val="both"/>
        <w:rPr>
          <w:sz w:val="20"/>
          <w:szCs w:val="20"/>
        </w:rPr>
      </w:pPr>
    </w:p>
    <w:p w:rsidR="00332988" w:rsidRPr="00332988" w:rsidRDefault="00332988" w:rsidP="008450B0">
      <w:pPr>
        <w:contextualSpacing/>
        <w:mirrorIndents/>
        <w:jc w:val="both"/>
        <w:rPr>
          <w:b/>
          <w:sz w:val="20"/>
          <w:szCs w:val="20"/>
        </w:rPr>
      </w:pPr>
      <w:bookmarkStart w:id="9" w:name="_heading=h.2adk0f4dllfq" w:colFirst="0" w:colLast="0"/>
      <w:bookmarkEnd w:id="9"/>
      <w:r w:rsidRPr="00332988">
        <w:rPr>
          <w:b/>
          <w:sz w:val="20"/>
          <w:szCs w:val="20"/>
        </w:rPr>
        <w:t>Data Collection</w:t>
      </w:r>
    </w:p>
    <w:p w:rsidR="00332988" w:rsidRDefault="00332988" w:rsidP="008450B0">
      <w:pPr>
        <w:contextualSpacing/>
        <w:mirrorIndents/>
        <w:jc w:val="both"/>
        <w:rPr>
          <w:sz w:val="20"/>
          <w:szCs w:val="20"/>
        </w:rPr>
      </w:pPr>
    </w:p>
    <w:p w:rsidR="008C4A4F" w:rsidRDefault="00E863A5" w:rsidP="008450B0">
      <w:pPr>
        <w:contextualSpacing/>
        <w:mirrorIndents/>
        <w:jc w:val="both"/>
        <w:rPr>
          <w:sz w:val="20"/>
          <w:szCs w:val="20"/>
        </w:rPr>
      </w:pPr>
      <w:r w:rsidRPr="00987649">
        <w:rPr>
          <w:sz w:val="20"/>
          <w:szCs w:val="20"/>
        </w:rPr>
        <w:t xml:space="preserve">Demographic data included age, sex, race/ethnicity, and </w:t>
      </w:r>
      <w:r w:rsidR="00201AB5" w:rsidRPr="00987649">
        <w:rPr>
          <w:sz w:val="20"/>
          <w:szCs w:val="20"/>
        </w:rPr>
        <w:t xml:space="preserve">Body Mass Index </w:t>
      </w:r>
      <w:r w:rsidRPr="00987649">
        <w:rPr>
          <w:sz w:val="20"/>
          <w:szCs w:val="20"/>
        </w:rPr>
        <w:t xml:space="preserve">(BMI). Clinical factors such as </w:t>
      </w:r>
      <w:proofErr w:type="spellStart"/>
      <w:r w:rsidRPr="00987649">
        <w:rPr>
          <w:sz w:val="20"/>
          <w:szCs w:val="20"/>
        </w:rPr>
        <w:t>proning</w:t>
      </w:r>
      <w:proofErr w:type="spellEnd"/>
      <w:r w:rsidRPr="00987649">
        <w:rPr>
          <w:sz w:val="20"/>
          <w:szCs w:val="20"/>
        </w:rPr>
        <w:t xml:space="preserve"> method, time spent in prone therapy, use of sedation, paralytic agents, and steroids were abstracted. Risk for </w:t>
      </w:r>
      <w:r w:rsidRPr="00987649">
        <w:rPr>
          <w:sz w:val="20"/>
          <w:szCs w:val="20"/>
        </w:rPr>
        <w:lastRenderedPageBreak/>
        <w:t>mortality was used as a measure of severity of illness, using the Midas</w:t>
      </w:r>
      <w:r w:rsidRPr="00987649">
        <w:rPr>
          <w:sz w:val="20"/>
          <w:szCs w:val="20"/>
          <w:vertAlign w:val="superscript"/>
        </w:rPr>
        <w:t>©</w:t>
      </w:r>
      <w:r w:rsidRPr="00987649">
        <w:rPr>
          <w:sz w:val="20"/>
          <w:szCs w:val="20"/>
        </w:rPr>
        <w:t xml:space="preserve"> Healthcare Analytics Solutions, risk-adjustment model (</w:t>
      </w:r>
      <w:r w:rsidRPr="0005109F">
        <w:rPr>
          <w:sz w:val="20"/>
          <w:szCs w:val="20"/>
        </w:rPr>
        <w:t>https://www.midasplus.com/Overview.htm</w:t>
      </w:r>
      <w:r w:rsidRPr="00987649">
        <w:rPr>
          <w:sz w:val="20"/>
          <w:szCs w:val="20"/>
        </w:rPr>
        <w:t xml:space="preserve">) which risk-adjusts individual patient encounters by assigning probabilities and expected values for mortality, length of stay, readmissions, and complications. Other outcomes were </w:t>
      </w:r>
      <w:r w:rsidR="00332988">
        <w:rPr>
          <w:sz w:val="20"/>
          <w:szCs w:val="20"/>
        </w:rPr>
        <w:t>Hospital Length o</w:t>
      </w:r>
      <w:r w:rsidR="00332988" w:rsidRPr="00987649">
        <w:rPr>
          <w:sz w:val="20"/>
          <w:szCs w:val="20"/>
        </w:rPr>
        <w:t xml:space="preserve">f Stay </w:t>
      </w:r>
      <w:r w:rsidRPr="00987649">
        <w:rPr>
          <w:sz w:val="20"/>
          <w:szCs w:val="20"/>
        </w:rPr>
        <w:t xml:space="preserve">(HLOS), ICU </w:t>
      </w:r>
      <w:r w:rsidR="00332988">
        <w:rPr>
          <w:sz w:val="20"/>
          <w:szCs w:val="20"/>
        </w:rPr>
        <w:t>Length o</w:t>
      </w:r>
      <w:r w:rsidR="00332988" w:rsidRPr="00987649">
        <w:rPr>
          <w:sz w:val="20"/>
          <w:szCs w:val="20"/>
        </w:rPr>
        <w:t xml:space="preserve">f Stay </w:t>
      </w:r>
      <w:r w:rsidRPr="00987649">
        <w:rPr>
          <w:sz w:val="20"/>
          <w:szCs w:val="20"/>
        </w:rPr>
        <w:t xml:space="preserve">(ICU LOS), and improvement in oxygenation, defined as a decrease in </w:t>
      </w:r>
      <w:r w:rsidR="00332988" w:rsidRPr="00987649">
        <w:rPr>
          <w:sz w:val="20"/>
          <w:szCs w:val="20"/>
        </w:rPr>
        <w:t xml:space="preserve">Positive End Expiration Pressure </w:t>
      </w:r>
      <w:r w:rsidRPr="00987649">
        <w:rPr>
          <w:sz w:val="20"/>
          <w:szCs w:val="20"/>
        </w:rPr>
        <w:t>(PEEP) and FiO</w:t>
      </w:r>
      <w:r w:rsidRPr="00332988">
        <w:rPr>
          <w:color w:val="FF0000"/>
          <w:sz w:val="20"/>
          <w:szCs w:val="20"/>
          <w:vertAlign w:val="subscript"/>
        </w:rPr>
        <w:t>2</w:t>
      </w:r>
      <w:r w:rsidRPr="00987649">
        <w:rPr>
          <w:sz w:val="20"/>
          <w:szCs w:val="20"/>
        </w:rPr>
        <w:t xml:space="preserve"> within 48 hours after prone therapy was initiated. Patient-level data were retrieved from both Midas</w:t>
      </w:r>
      <w:r w:rsidRPr="00755350">
        <w:rPr>
          <w:color w:val="FF0000"/>
          <w:sz w:val="20"/>
          <w:szCs w:val="20"/>
          <w:vertAlign w:val="superscript"/>
        </w:rPr>
        <w:t>®</w:t>
      </w:r>
      <w:r w:rsidRPr="00987649">
        <w:rPr>
          <w:sz w:val="20"/>
          <w:szCs w:val="20"/>
        </w:rPr>
        <w:t xml:space="preserve"> for administrative data (demographic information) and the Cerner EHR system for the clinical variables, such as prone positioning, type of prone, and developmen</w:t>
      </w:r>
      <w:r w:rsidR="008C4A4F">
        <w:rPr>
          <w:sz w:val="20"/>
          <w:szCs w:val="20"/>
        </w:rPr>
        <w:t xml:space="preserve">t of HAPI wound care notes. </w:t>
      </w:r>
    </w:p>
    <w:p w:rsidR="00E863A5" w:rsidRPr="00987649" w:rsidRDefault="00AE6041" w:rsidP="008450B0">
      <w:pPr>
        <w:contextualSpacing/>
        <w:mirrorIndents/>
        <w:jc w:val="both"/>
        <w:rPr>
          <w:sz w:val="20"/>
          <w:szCs w:val="20"/>
        </w:rPr>
      </w:pPr>
      <w:r>
        <w:rPr>
          <w:sz w:val="20"/>
          <w:szCs w:val="20"/>
        </w:rPr>
        <w:t xml:space="preserve"> </w:t>
      </w:r>
    </w:p>
    <w:p w:rsidR="00A46A51" w:rsidRPr="00F20CAF" w:rsidRDefault="00A46A51" w:rsidP="008450B0">
      <w:pPr>
        <w:contextualSpacing/>
        <w:mirrorIndents/>
        <w:jc w:val="both"/>
        <w:rPr>
          <w:b/>
          <w:sz w:val="20"/>
          <w:szCs w:val="20"/>
        </w:rPr>
      </w:pPr>
      <w:bookmarkStart w:id="10" w:name="_heading=h.g7br8ndz3jan" w:colFirst="0" w:colLast="0"/>
      <w:bookmarkEnd w:id="10"/>
      <w:r w:rsidRPr="00F20CAF">
        <w:rPr>
          <w:b/>
          <w:sz w:val="20"/>
          <w:szCs w:val="20"/>
        </w:rPr>
        <w:t>Data Analysis</w:t>
      </w:r>
    </w:p>
    <w:p w:rsidR="00A46A51" w:rsidRDefault="00A46A51" w:rsidP="008450B0">
      <w:pPr>
        <w:contextualSpacing/>
        <w:mirrorIndents/>
        <w:jc w:val="both"/>
        <w:rPr>
          <w:sz w:val="20"/>
          <w:szCs w:val="20"/>
        </w:rPr>
      </w:pPr>
    </w:p>
    <w:p w:rsidR="008C4A4F" w:rsidRDefault="00E863A5" w:rsidP="008450B0">
      <w:pPr>
        <w:contextualSpacing/>
        <w:mirrorIndents/>
        <w:jc w:val="both"/>
        <w:rPr>
          <w:sz w:val="20"/>
          <w:szCs w:val="20"/>
        </w:rPr>
      </w:pPr>
      <w:r w:rsidRPr="00987649">
        <w:rPr>
          <w:sz w:val="20"/>
          <w:szCs w:val="20"/>
        </w:rPr>
        <w:t xml:space="preserve">Utilizing ‘r’ software for analysis, descriptive statistics were calculated for all variables. Frequency tables were obtained for categorical variables, and means and standard deviations were calculated for continuous variables. Chi-square tests were used to determine association between two variables and Two-Sample t-tests were used to determine significant </w:t>
      </w:r>
      <w:r w:rsidR="008C4A4F">
        <w:rPr>
          <w:sz w:val="20"/>
          <w:szCs w:val="20"/>
        </w:rPr>
        <w:t>differences between two groups.</w:t>
      </w:r>
    </w:p>
    <w:p w:rsidR="006B3C08" w:rsidRPr="00987649" w:rsidRDefault="006B3C08" w:rsidP="008450B0">
      <w:pPr>
        <w:contextualSpacing/>
        <w:mirrorIndents/>
        <w:jc w:val="both"/>
        <w:rPr>
          <w:sz w:val="20"/>
          <w:szCs w:val="20"/>
        </w:rPr>
      </w:pPr>
    </w:p>
    <w:p w:rsidR="00E863A5" w:rsidRPr="006B3C08" w:rsidRDefault="006B3C08" w:rsidP="008450B0">
      <w:pPr>
        <w:contextualSpacing/>
        <w:mirrorIndents/>
        <w:jc w:val="both"/>
        <w:rPr>
          <w:rFonts w:eastAsia="Calibri"/>
          <w:b/>
          <w:sz w:val="22"/>
          <w:szCs w:val="22"/>
        </w:rPr>
      </w:pPr>
      <w:r w:rsidRPr="006B3C08">
        <w:rPr>
          <w:rFonts w:eastAsia="Calibri"/>
          <w:b/>
          <w:sz w:val="22"/>
          <w:szCs w:val="22"/>
        </w:rPr>
        <w:t>Results</w:t>
      </w:r>
    </w:p>
    <w:p w:rsidR="006B3C08" w:rsidRPr="00987649" w:rsidRDefault="006B3C08" w:rsidP="008450B0">
      <w:pPr>
        <w:contextualSpacing/>
        <w:mirrorIndents/>
        <w:jc w:val="both"/>
        <w:rPr>
          <w:rFonts w:eastAsia="Calibri"/>
          <w:sz w:val="20"/>
          <w:szCs w:val="20"/>
        </w:rPr>
      </w:pPr>
    </w:p>
    <w:p w:rsidR="00E9527E" w:rsidRDefault="00E863A5" w:rsidP="008450B0">
      <w:pPr>
        <w:contextualSpacing/>
        <w:mirrorIndents/>
        <w:jc w:val="both"/>
        <w:rPr>
          <w:sz w:val="20"/>
          <w:szCs w:val="20"/>
        </w:rPr>
      </w:pPr>
      <w:bookmarkStart w:id="11" w:name="_heading=h.3znysh7" w:colFirst="0" w:colLast="0"/>
      <w:bookmarkEnd w:id="11"/>
      <w:r w:rsidRPr="00987649">
        <w:rPr>
          <w:sz w:val="20"/>
          <w:szCs w:val="20"/>
        </w:rPr>
        <w:t xml:space="preserve">Of the 231 patients identified, 164 had prone therapy during the study period where 106 (64.2%) were manually </w:t>
      </w:r>
      <w:proofErr w:type="spellStart"/>
      <w:r w:rsidRPr="00987649">
        <w:rPr>
          <w:sz w:val="20"/>
          <w:szCs w:val="20"/>
        </w:rPr>
        <w:t>proned</w:t>
      </w:r>
      <w:proofErr w:type="spellEnd"/>
      <w:r w:rsidRPr="00987649">
        <w:rPr>
          <w:sz w:val="20"/>
          <w:szCs w:val="20"/>
        </w:rPr>
        <w:t xml:space="preserve"> and the remaining 54 were </w:t>
      </w:r>
      <w:proofErr w:type="spellStart"/>
      <w:r w:rsidRPr="00987649">
        <w:rPr>
          <w:sz w:val="20"/>
          <w:szCs w:val="20"/>
        </w:rPr>
        <w:t>proned</w:t>
      </w:r>
      <w:proofErr w:type="spellEnd"/>
      <w:r w:rsidRPr="00987649">
        <w:rPr>
          <w:sz w:val="20"/>
          <w:szCs w:val="20"/>
        </w:rPr>
        <w:t xml:space="preserve"> using a </w:t>
      </w:r>
      <w:proofErr w:type="spellStart"/>
      <w:r w:rsidRPr="00987649">
        <w:rPr>
          <w:sz w:val="20"/>
          <w:szCs w:val="20"/>
        </w:rPr>
        <w:t>Rotoprone</w:t>
      </w:r>
      <w:proofErr w:type="spellEnd"/>
      <w:r w:rsidRPr="00E9527E">
        <w:rPr>
          <w:color w:val="FF0000"/>
          <w:sz w:val="20"/>
          <w:szCs w:val="20"/>
          <w:vertAlign w:val="superscript"/>
        </w:rPr>
        <w:t>®</w:t>
      </w:r>
      <w:r w:rsidRPr="00987649">
        <w:rPr>
          <w:sz w:val="20"/>
          <w:szCs w:val="20"/>
        </w:rPr>
        <w:t xml:space="preserve"> bed. Four patients had both methods for </w:t>
      </w:r>
      <w:proofErr w:type="spellStart"/>
      <w:r w:rsidRPr="00987649">
        <w:rPr>
          <w:sz w:val="20"/>
          <w:szCs w:val="20"/>
        </w:rPr>
        <w:t>proning</w:t>
      </w:r>
      <w:proofErr w:type="spellEnd"/>
      <w:r w:rsidRPr="00987649">
        <w:rPr>
          <w:sz w:val="20"/>
          <w:szCs w:val="20"/>
        </w:rPr>
        <w:t xml:space="preserve"> and were removed from the analysi</w:t>
      </w:r>
      <w:r w:rsidR="00E9527E">
        <w:rPr>
          <w:sz w:val="20"/>
          <w:szCs w:val="20"/>
        </w:rPr>
        <w:t>s.</w:t>
      </w:r>
      <w:bookmarkStart w:id="12" w:name="_heading=h.7d3jqt61qbp5" w:colFirst="0" w:colLast="0"/>
      <w:bookmarkEnd w:id="12"/>
    </w:p>
    <w:p w:rsidR="00F472A7" w:rsidRDefault="00F472A7" w:rsidP="008450B0">
      <w:pPr>
        <w:contextualSpacing/>
        <w:mirrorIndents/>
        <w:jc w:val="both"/>
        <w:rPr>
          <w:sz w:val="20"/>
          <w:szCs w:val="20"/>
        </w:rPr>
      </w:pPr>
    </w:p>
    <w:p w:rsidR="00E863A5" w:rsidRPr="00407FD5" w:rsidRDefault="00E863A5" w:rsidP="008450B0">
      <w:pPr>
        <w:contextualSpacing/>
        <w:mirrorIndents/>
        <w:jc w:val="both"/>
        <w:rPr>
          <w:b/>
          <w:sz w:val="20"/>
          <w:szCs w:val="20"/>
        </w:rPr>
      </w:pPr>
      <w:r w:rsidRPr="00407FD5">
        <w:rPr>
          <w:b/>
          <w:sz w:val="20"/>
          <w:szCs w:val="20"/>
        </w:rPr>
        <w:t>Patient Characteristics</w:t>
      </w:r>
    </w:p>
    <w:p w:rsidR="00E9527E" w:rsidRDefault="00E9527E" w:rsidP="008450B0">
      <w:pPr>
        <w:contextualSpacing/>
        <w:mirrorIndents/>
        <w:jc w:val="both"/>
        <w:rPr>
          <w:sz w:val="20"/>
          <w:szCs w:val="20"/>
        </w:rPr>
      </w:pPr>
    </w:p>
    <w:p w:rsidR="0098548E" w:rsidRDefault="00E863A5" w:rsidP="001A59CD">
      <w:pPr>
        <w:spacing w:before="240"/>
        <w:contextualSpacing/>
        <w:mirrorIndents/>
        <w:jc w:val="both"/>
        <w:rPr>
          <w:sz w:val="20"/>
          <w:szCs w:val="20"/>
        </w:rPr>
      </w:pPr>
      <w:r w:rsidRPr="00987649">
        <w:rPr>
          <w:sz w:val="20"/>
          <w:szCs w:val="20"/>
        </w:rPr>
        <w:t xml:space="preserve">As shown in </w:t>
      </w:r>
      <w:r w:rsidR="00F969B4" w:rsidRPr="00F969B4">
        <w:rPr>
          <w:color w:val="FF0000"/>
          <w:sz w:val="20"/>
          <w:szCs w:val="20"/>
        </w:rPr>
        <w:t>(</w:t>
      </w:r>
      <w:r w:rsidRPr="00F969B4">
        <w:rPr>
          <w:color w:val="FF0000"/>
          <w:sz w:val="20"/>
          <w:szCs w:val="20"/>
        </w:rPr>
        <w:t>Table 1</w:t>
      </w:r>
      <w:r w:rsidR="00F969B4" w:rsidRPr="00F969B4">
        <w:rPr>
          <w:color w:val="FF0000"/>
          <w:sz w:val="20"/>
          <w:szCs w:val="20"/>
        </w:rPr>
        <w:t>)</w:t>
      </w:r>
      <w:r w:rsidRPr="00987649">
        <w:rPr>
          <w:sz w:val="20"/>
          <w:szCs w:val="20"/>
        </w:rPr>
        <w:t>, the majority of the patients were male (58.5%), white (38.4%), and non- Hispanic (50.6%). The study group’s mean age was 61.08 years and their mean BMI was 32.73. In our sample, the majority of the patients expired (73.2%). In our study, 89% of the patients were diagnosed with COVID-19. The patients spent an average of 14.79 days on the mechanical ventilator and 9.05 days on prone therapy. Patients on manual prone therapy had significantly lower use of neuromuscular blocking agent infusions (p = .0383) and spent significantly more day</w:t>
      </w:r>
      <w:r w:rsidR="00F969B4">
        <w:rPr>
          <w:sz w:val="20"/>
          <w:szCs w:val="20"/>
        </w:rPr>
        <w:t>s on prone therapy (p = .0143)</w:t>
      </w:r>
      <w:r w:rsidRPr="00987649">
        <w:rPr>
          <w:sz w:val="20"/>
          <w:szCs w:val="20"/>
        </w:rPr>
        <w:t xml:space="preserve"> </w:t>
      </w:r>
      <w:r w:rsidR="00F969B4" w:rsidRPr="00F969B4">
        <w:rPr>
          <w:color w:val="FF0000"/>
          <w:sz w:val="20"/>
          <w:szCs w:val="20"/>
        </w:rPr>
        <w:t>(</w:t>
      </w:r>
      <w:r w:rsidRPr="00F969B4">
        <w:rPr>
          <w:color w:val="FF0000"/>
          <w:sz w:val="20"/>
          <w:szCs w:val="20"/>
        </w:rPr>
        <w:t>Table 2</w:t>
      </w:r>
      <w:r w:rsidR="00F969B4" w:rsidRPr="00F969B4">
        <w:rPr>
          <w:color w:val="FF0000"/>
          <w:sz w:val="20"/>
          <w:szCs w:val="20"/>
        </w:rPr>
        <w:t>)</w:t>
      </w:r>
      <w:r w:rsidRPr="00987649">
        <w:rPr>
          <w:sz w:val="20"/>
          <w:szCs w:val="20"/>
        </w:rPr>
        <w:t>.</w:t>
      </w:r>
    </w:p>
    <w:p w:rsidR="001A59CD" w:rsidRDefault="001A59CD" w:rsidP="001A59CD">
      <w:pPr>
        <w:spacing w:before="240"/>
        <w:contextualSpacing/>
        <w:mirrorIndents/>
        <w:jc w:val="both"/>
        <w:rPr>
          <w:sz w:val="20"/>
          <w:szCs w:val="20"/>
        </w:rPr>
      </w:pPr>
    </w:p>
    <w:tbl>
      <w:tblPr>
        <w:tblW w:w="3741" w:type="dxa"/>
        <w:jc w:val="center"/>
        <w:tblLook w:val="04A0" w:firstRow="1" w:lastRow="0" w:firstColumn="1" w:lastColumn="0" w:noHBand="0" w:noVBand="1"/>
      </w:tblPr>
      <w:tblGrid>
        <w:gridCol w:w="2277"/>
        <w:gridCol w:w="1464"/>
      </w:tblGrid>
      <w:tr w:rsidR="0098548E" w:rsidRPr="00674CF9" w:rsidTr="001A59CD">
        <w:trPr>
          <w:trHeight w:val="255"/>
          <w:jc w:val="center"/>
        </w:trPr>
        <w:tc>
          <w:tcPr>
            <w:tcW w:w="2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000000"/>
                <w:sz w:val="20"/>
                <w:szCs w:val="20"/>
              </w:rPr>
            </w:pPr>
            <w:r w:rsidRPr="00674CF9">
              <w:rPr>
                <w:color w:val="000000"/>
                <w:sz w:val="20"/>
                <w:szCs w:val="20"/>
              </w:rPr>
              <w:t>Demographics</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000000"/>
                <w:sz w:val="20"/>
                <w:szCs w:val="20"/>
              </w:rPr>
            </w:pPr>
            <w:r w:rsidRPr="00674CF9">
              <w:rPr>
                <w:color w:val="000000"/>
                <w:sz w:val="20"/>
                <w:szCs w:val="20"/>
              </w:rPr>
              <w:t> </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Age in years, mean (SD)</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61.08 (12.73)</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Sex, n (%)</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000000"/>
                <w:sz w:val="20"/>
                <w:szCs w:val="20"/>
              </w:rPr>
            </w:pPr>
            <w:r w:rsidRPr="00674CF9">
              <w:rPr>
                <w:color w:val="000000"/>
                <w:sz w:val="20"/>
                <w:szCs w:val="20"/>
              </w:rPr>
              <w:t> </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Male</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96 (58.54)</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Female</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68 (41.46)</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Race, n (%)</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000000"/>
                <w:sz w:val="20"/>
                <w:szCs w:val="20"/>
              </w:rPr>
            </w:pPr>
            <w:r w:rsidRPr="00674CF9">
              <w:rPr>
                <w:color w:val="000000"/>
                <w:sz w:val="20"/>
                <w:szCs w:val="20"/>
              </w:rPr>
              <w:t> </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 xml:space="preserve">White </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63 (38.41)</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Asian</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41 (25)</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Black</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13 (7.93)</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Other</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40 (24.39)</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Unknown</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7 (4.27)</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Ethnicity, n (%)</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000000"/>
                <w:sz w:val="20"/>
                <w:szCs w:val="20"/>
              </w:rPr>
            </w:pPr>
            <w:r w:rsidRPr="00674CF9">
              <w:rPr>
                <w:color w:val="000000"/>
                <w:sz w:val="20"/>
                <w:szCs w:val="20"/>
              </w:rPr>
              <w:t> </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Hispanic</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75 (45.73)</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bCs/>
                <w:color w:val="212121"/>
                <w:sz w:val="20"/>
                <w:szCs w:val="20"/>
              </w:rPr>
              <w:t>Non-Hispanic</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83 (50.61)</w:t>
            </w:r>
          </w:p>
        </w:tc>
      </w:tr>
      <w:tr w:rsidR="0098548E" w:rsidRPr="00674CF9" w:rsidTr="001A59CD">
        <w:trPr>
          <w:trHeight w:val="255"/>
          <w:jc w:val="center"/>
        </w:trPr>
        <w:tc>
          <w:tcPr>
            <w:tcW w:w="2277" w:type="dxa"/>
            <w:tcBorders>
              <w:top w:val="nil"/>
              <w:left w:val="single" w:sz="4" w:space="0" w:color="auto"/>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Unknown</w:t>
            </w:r>
          </w:p>
        </w:tc>
        <w:tc>
          <w:tcPr>
            <w:tcW w:w="1464" w:type="dxa"/>
            <w:tcBorders>
              <w:top w:val="nil"/>
              <w:left w:val="nil"/>
              <w:bottom w:val="single" w:sz="4" w:space="0" w:color="auto"/>
              <w:right w:val="single" w:sz="4" w:space="0" w:color="auto"/>
            </w:tcBorders>
            <w:shd w:val="clear" w:color="auto" w:fill="auto"/>
            <w:noWrap/>
            <w:vAlign w:val="center"/>
            <w:hideMark/>
          </w:tcPr>
          <w:p w:rsidR="0098548E" w:rsidRPr="00674CF9" w:rsidRDefault="0098548E" w:rsidP="0024703D">
            <w:pPr>
              <w:jc w:val="center"/>
              <w:rPr>
                <w:color w:val="212121"/>
                <w:sz w:val="20"/>
                <w:szCs w:val="20"/>
              </w:rPr>
            </w:pPr>
            <w:r w:rsidRPr="00674CF9">
              <w:rPr>
                <w:color w:val="212121"/>
                <w:sz w:val="20"/>
                <w:szCs w:val="20"/>
              </w:rPr>
              <w:t>6 (3.66)</w:t>
            </w:r>
          </w:p>
        </w:tc>
      </w:tr>
    </w:tbl>
    <w:p w:rsidR="0098548E" w:rsidRPr="00987649" w:rsidRDefault="0098548E" w:rsidP="0098548E">
      <w:pPr>
        <w:contextualSpacing/>
        <w:mirrorIndents/>
        <w:jc w:val="both"/>
        <w:rPr>
          <w:color w:val="212121"/>
          <w:sz w:val="20"/>
          <w:szCs w:val="20"/>
        </w:rPr>
      </w:pPr>
    </w:p>
    <w:p w:rsidR="00C94804" w:rsidRDefault="0098548E" w:rsidP="001A59CD">
      <w:pPr>
        <w:contextualSpacing/>
        <w:mirrorIndents/>
        <w:jc w:val="center"/>
        <w:rPr>
          <w:color w:val="212121"/>
          <w:sz w:val="20"/>
          <w:szCs w:val="20"/>
        </w:rPr>
      </w:pPr>
      <w:r w:rsidRPr="005C1E79">
        <w:rPr>
          <w:b/>
          <w:color w:val="212121"/>
          <w:sz w:val="20"/>
          <w:szCs w:val="20"/>
        </w:rPr>
        <w:t>Table 1:</w:t>
      </w:r>
      <w:r w:rsidRPr="00987649">
        <w:rPr>
          <w:color w:val="212121"/>
          <w:sz w:val="20"/>
          <w:szCs w:val="20"/>
        </w:rPr>
        <w:t xml:space="preserve"> Patient Characteristics</w:t>
      </w:r>
      <w:r>
        <w:rPr>
          <w:color w:val="212121"/>
          <w:sz w:val="20"/>
          <w:szCs w:val="20"/>
        </w:rPr>
        <w:t>.</w:t>
      </w:r>
    </w:p>
    <w:p w:rsidR="001A59CD" w:rsidRDefault="001A59CD" w:rsidP="001A59CD">
      <w:pPr>
        <w:contextualSpacing/>
        <w:mirrorIndents/>
        <w:jc w:val="both"/>
        <w:rPr>
          <w:color w:val="212121"/>
          <w:sz w:val="20"/>
          <w:szCs w:val="20"/>
        </w:rPr>
      </w:pPr>
    </w:p>
    <w:tbl>
      <w:tblPr>
        <w:tblW w:w="6824" w:type="dxa"/>
        <w:jc w:val="center"/>
        <w:tblLook w:val="04A0" w:firstRow="1" w:lastRow="0" w:firstColumn="1" w:lastColumn="0" w:noHBand="0" w:noVBand="1"/>
      </w:tblPr>
      <w:tblGrid>
        <w:gridCol w:w="2605"/>
        <w:gridCol w:w="1568"/>
        <w:gridCol w:w="1582"/>
        <w:gridCol w:w="1069"/>
      </w:tblGrid>
      <w:tr w:rsidR="00C94804" w:rsidRPr="000B744B" w:rsidTr="002E2583">
        <w:trPr>
          <w:trHeight w:val="179"/>
          <w:jc w:val="cent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bCs/>
                <w:color w:val="212121"/>
                <w:sz w:val="20"/>
                <w:szCs w:val="20"/>
              </w:rPr>
              <w:t>Clinical factors</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bCs/>
                <w:color w:val="212121"/>
                <w:sz w:val="20"/>
                <w:szCs w:val="20"/>
              </w:rPr>
              <w:t>Manual Prone (106)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proofErr w:type="spellStart"/>
            <w:r w:rsidRPr="000B744B">
              <w:rPr>
                <w:bCs/>
                <w:color w:val="212121"/>
                <w:sz w:val="20"/>
                <w:szCs w:val="20"/>
              </w:rPr>
              <w:t>Rotoprone</w:t>
            </w:r>
            <w:proofErr w:type="spellEnd"/>
            <w:r w:rsidRPr="000B744B">
              <w:rPr>
                <w:bCs/>
                <w:color w:val="FF0000"/>
                <w:sz w:val="20"/>
                <w:szCs w:val="20"/>
                <w:vertAlign w:val="superscript"/>
              </w:rPr>
              <w:t>®</w:t>
            </w:r>
            <w:r w:rsidRPr="000B744B">
              <w:rPr>
                <w:bCs/>
                <w:color w:val="212121"/>
                <w:sz w:val="20"/>
                <w:szCs w:val="20"/>
              </w:rPr>
              <w:t xml:space="preserve"> (54)</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bCs/>
                <w:color w:val="212121"/>
                <w:sz w:val="20"/>
                <w:szCs w:val="20"/>
              </w:rPr>
              <w:t>p value</w:t>
            </w:r>
          </w:p>
        </w:tc>
      </w:tr>
      <w:tr w:rsidR="00C94804" w:rsidRPr="000B744B" w:rsidTr="002E2583">
        <w:trPr>
          <w:trHeight w:val="179"/>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COVID -19 Diagnosis n (%)</w:t>
            </w:r>
          </w:p>
        </w:tc>
        <w:tc>
          <w:tcPr>
            <w:tcW w:w="1568"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106 (100)</w:t>
            </w:r>
          </w:p>
        </w:tc>
        <w:tc>
          <w:tcPr>
            <w:tcW w:w="1582"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36 (66.67)</w:t>
            </w:r>
          </w:p>
        </w:tc>
        <w:tc>
          <w:tcPr>
            <w:tcW w:w="1069"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w:t>
            </w:r>
          </w:p>
        </w:tc>
      </w:tr>
      <w:tr w:rsidR="00C94804" w:rsidRPr="000B744B" w:rsidTr="002E2583">
        <w:trPr>
          <w:trHeight w:val="179"/>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BMI, mean (SD)</w:t>
            </w:r>
          </w:p>
        </w:tc>
        <w:tc>
          <w:tcPr>
            <w:tcW w:w="1568"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32.63 (7.10)</w:t>
            </w:r>
          </w:p>
        </w:tc>
        <w:tc>
          <w:tcPr>
            <w:tcW w:w="1582"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33.18 (7.60)</w:t>
            </w:r>
          </w:p>
        </w:tc>
        <w:tc>
          <w:tcPr>
            <w:tcW w:w="1069"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0.3271</w:t>
            </w:r>
          </w:p>
        </w:tc>
      </w:tr>
      <w:tr w:rsidR="00C94804" w:rsidRPr="000B744B" w:rsidTr="002E2583">
        <w:trPr>
          <w:trHeight w:val="179"/>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Days on prone, mean (SD)</w:t>
            </w:r>
          </w:p>
        </w:tc>
        <w:tc>
          <w:tcPr>
            <w:tcW w:w="1568"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9.87 (7.95)</w:t>
            </w:r>
          </w:p>
        </w:tc>
        <w:tc>
          <w:tcPr>
            <w:tcW w:w="1582"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7.37 (6.05)</w:t>
            </w:r>
          </w:p>
        </w:tc>
        <w:tc>
          <w:tcPr>
            <w:tcW w:w="1069"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bCs/>
                <w:color w:val="212121"/>
                <w:sz w:val="20"/>
                <w:szCs w:val="20"/>
              </w:rPr>
              <w:t>0.0143</w:t>
            </w:r>
          </w:p>
        </w:tc>
      </w:tr>
      <w:tr w:rsidR="00C94804" w:rsidRPr="000B744B" w:rsidTr="002E2583">
        <w:trPr>
          <w:trHeight w:val="179"/>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lastRenderedPageBreak/>
              <w:t>Days on MV, mean (SD)</w:t>
            </w:r>
          </w:p>
        </w:tc>
        <w:tc>
          <w:tcPr>
            <w:tcW w:w="1568"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14.18 (11.39)</w:t>
            </w:r>
          </w:p>
        </w:tc>
        <w:tc>
          <w:tcPr>
            <w:tcW w:w="1582"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16.06 (14.43)</w:t>
            </w:r>
          </w:p>
        </w:tc>
        <w:tc>
          <w:tcPr>
            <w:tcW w:w="1069"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0.2038</w:t>
            </w:r>
          </w:p>
        </w:tc>
      </w:tr>
      <w:tr w:rsidR="00C94804" w:rsidRPr="000B744B" w:rsidTr="002E2583">
        <w:trPr>
          <w:trHeight w:val="179"/>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Steroid Use, n (%)</w:t>
            </w:r>
          </w:p>
        </w:tc>
        <w:tc>
          <w:tcPr>
            <w:tcW w:w="1568"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106 (100)</w:t>
            </w:r>
          </w:p>
        </w:tc>
        <w:tc>
          <w:tcPr>
            <w:tcW w:w="1582"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42 (77.78)</w:t>
            </w:r>
          </w:p>
        </w:tc>
        <w:tc>
          <w:tcPr>
            <w:tcW w:w="1069"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w:t>
            </w:r>
          </w:p>
        </w:tc>
      </w:tr>
      <w:tr w:rsidR="00C94804" w:rsidRPr="000B744B" w:rsidTr="002E2583">
        <w:trPr>
          <w:trHeight w:val="179"/>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Sedation used, n (%)</w:t>
            </w:r>
          </w:p>
        </w:tc>
        <w:tc>
          <w:tcPr>
            <w:tcW w:w="1568"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106 (100)</w:t>
            </w:r>
          </w:p>
        </w:tc>
        <w:tc>
          <w:tcPr>
            <w:tcW w:w="1582"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54 (100)</w:t>
            </w:r>
          </w:p>
        </w:tc>
        <w:tc>
          <w:tcPr>
            <w:tcW w:w="1069"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w:t>
            </w:r>
          </w:p>
        </w:tc>
      </w:tr>
      <w:tr w:rsidR="00C94804" w:rsidRPr="000B744B" w:rsidTr="002E2583">
        <w:trPr>
          <w:trHeight w:val="179"/>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NMB Drip, n (%)</w:t>
            </w:r>
          </w:p>
        </w:tc>
        <w:tc>
          <w:tcPr>
            <w:tcW w:w="1568"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55 (51.89)</w:t>
            </w:r>
          </w:p>
        </w:tc>
        <w:tc>
          <w:tcPr>
            <w:tcW w:w="1582"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38 (70.37)</w:t>
            </w:r>
          </w:p>
        </w:tc>
        <w:tc>
          <w:tcPr>
            <w:tcW w:w="1069"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bCs/>
                <w:color w:val="212121"/>
                <w:sz w:val="20"/>
                <w:szCs w:val="20"/>
              </w:rPr>
              <w:t>0.0383</w:t>
            </w:r>
          </w:p>
        </w:tc>
      </w:tr>
      <w:tr w:rsidR="00C94804" w:rsidRPr="000B744B" w:rsidTr="002E2583">
        <w:trPr>
          <w:trHeight w:val="179"/>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Improvement in PEEP or FiO</w:t>
            </w:r>
            <w:r w:rsidRPr="000B744B">
              <w:rPr>
                <w:color w:val="FF0000"/>
                <w:sz w:val="20"/>
                <w:szCs w:val="20"/>
                <w:vertAlign w:val="subscript"/>
              </w:rPr>
              <w:t>2</w:t>
            </w:r>
            <w:r w:rsidRPr="000B744B">
              <w:rPr>
                <w:color w:val="212121"/>
                <w:sz w:val="20"/>
                <w:szCs w:val="20"/>
              </w:rPr>
              <w:t xml:space="preserve"> within 48 </w:t>
            </w:r>
            <w:proofErr w:type="spellStart"/>
            <w:r w:rsidRPr="000B744B">
              <w:rPr>
                <w:color w:val="212121"/>
                <w:sz w:val="20"/>
                <w:szCs w:val="20"/>
              </w:rPr>
              <w:t>hrs</w:t>
            </w:r>
            <w:proofErr w:type="spellEnd"/>
            <w:r w:rsidRPr="000B744B">
              <w:rPr>
                <w:color w:val="212121"/>
                <w:sz w:val="20"/>
                <w:szCs w:val="20"/>
              </w:rPr>
              <w:t xml:space="preserve"> of prone </w:t>
            </w:r>
          </w:p>
        </w:tc>
        <w:tc>
          <w:tcPr>
            <w:tcW w:w="1568"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32 (31.37)</w:t>
            </w:r>
          </w:p>
        </w:tc>
        <w:tc>
          <w:tcPr>
            <w:tcW w:w="1582"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20 (38.46)</w:t>
            </w:r>
          </w:p>
        </w:tc>
        <w:tc>
          <w:tcPr>
            <w:tcW w:w="1069" w:type="dxa"/>
            <w:tcBorders>
              <w:top w:val="nil"/>
              <w:left w:val="nil"/>
              <w:bottom w:val="single" w:sz="4" w:space="0" w:color="auto"/>
              <w:right w:val="single" w:sz="4" w:space="0" w:color="auto"/>
            </w:tcBorders>
            <w:shd w:val="clear" w:color="auto" w:fill="auto"/>
            <w:noWrap/>
            <w:vAlign w:val="center"/>
            <w:hideMark/>
          </w:tcPr>
          <w:p w:rsidR="00C94804" w:rsidRPr="000B744B" w:rsidRDefault="00C94804" w:rsidP="0024703D">
            <w:pPr>
              <w:jc w:val="center"/>
              <w:rPr>
                <w:color w:val="212121"/>
                <w:sz w:val="20"/>
                <w:szCs w:val="20"/>
              </w:rPr>
            </w:pPr>
            <w:r w:rsidRPr="000B744B">
              <w:rPr>
                <w:color w:val="212121"/>
                <w:sz w:val="20"/>
                <w:szCs w:val="20"/>
              </w:rPr>
              <w:t>0.4842**</w:t>
            </w:r>
          </w:p>
        </w:tc>
      </w:tr>
      <w:tr w:rsidR="00C94804" w:rsidRPr="000B744B" w:rsidTr="0024703D">
        <w:trPr>
          <w:trHeight w:val="179"/>
          <w:jc w:val="center"/>
        </w:trPr>
        <w:tc>
          <w:tcPr>
            <w:tcW w:w="6824" w:type="dxa"/>
            <w:gridSpan w:val="4"/>
            <w:tcBorders>
              <w:top w:val="nil"/>
              <w:left w:val="single" w:sz="4" w:space="0" w:color="auto"/>
              <w:bottom w:val="single" w:sz="4" w:space="0" w:color="auto"/>
              <w:right w:val="single" w:sz="4" w:space="0" w:color="auto"/>
            </w:tcBorders>
            <w:shd w:val="clear" w:color="auto" w:fill="auto"/>
            <w:noWrap/>
            <w:vAlign w:val="bottom"/>
            <w:hideMark/>
          </w:tcPr>
          <w:p w:rsidR="00C94804" w:rsidRPr="000B744B" w:rsidRDefault="00C94804" w:rsidP="0024703D">
            <w:pPr>
              <w:jc w:val="center"/>
              <w:rPr>
                <w:color w:val="000000"/>
                <w:sz w:val="20"/>
                <w:szCs w:val="20"/>
              </w:rPr>
            </w:pPr>
            <w:r w:rsidRPr="000B744B">
              <w:rPr>
                <w:color w:val="000000"/>
                <w:sz w:val="20"/>
                <w:szCs w:val="20"/>
              </w:rPr>
              <w:t>Note: *</w:t>
            </w:r>
            <w:r>
              <w:rPr>
                <w:color w:val="000000"/>
                <w:sz w:val="20"/>
                <w:szCs w:val="20"/>
              </w:rPr>
              <w:t xml:space="preserve"> </w:t>
            </w:r>
            <w:r w:rsidRPr="000B744B">
              <w:rPr>
                <w:color w:val="000000"/>
                <w:sz w:val="20"/>
                <w:szCs w:val="20"/>
              </w:rPr>
              <w:t>A statistical test is not possible due to the distribution of numbers.</w:t>
            </w:r>
            <w:r w:rsidRPr="000B744B">
              <w:rPr>
                <w:color w:val="000000"/>
                <w:sz w:val="20"/>
                <w:szCs w:val="20"/>
              </w:rPr>
              <w:br/>
              <w:t>** Missing values for PEEP and FiO</w:t>
            </w:r>
            <w:r w:rsidRPr="000B744B">
              <w:rPr>
                <w:color w:val="FF0000"/>
                <w:sz w:val="20"/>
                <w:szCs w:val="20"/>
                <w:vertAlign w:val="subscript"/>
              </w:rPr>
              <w:t>2</w:t>
            </w:r>
            <w:r w:rsidRPr="000B744B">
              <w:rPr>
                <w:color w:val="000000"/>
                <w:sz w:val="20"/>
                <w:szCs w:val="20"/>
              </w:rPr>
              <w:t> </w:t>
            </w:r>
          </w:p>
        </w:tc>
      </w:tr>
    </w:tbl>
    <w:p w:rsidR="00C94804" w:rsidRPr="00987649" w:rsidRDefault="00C94804" w:rsidP="00C94804">
      <w:pPr>
        <w:contextualSpacing/>
        <w:mirrorIndents/>
        <w:jc w:val="both"/>
        <w:rPr>
          <w:color w:val="212121"/>
          <w:sz w:val="20"/>
          <w:szCs w:val="20"/>
        </w:rPr>
      </w:pPr>
    </w:p>
    <w:p w:rsidR="00C94804" w:rsidRDefault="00C94804" w:rsidP="001A59CD">
      <w:pPr>
        <w:contextualSpacing/>
        <w:mirrorIndents/>
        <w:jc w:val="center"/>
        <w:rPr>
          <w:color w:val="212121"/>
          <w:sz w:val="20"/>
          <w:szCs w:val="20"/>
        </w:rPr>
      </w:pPr>
      <w:r w:rsidRPr="00C24C8B">
        <w:rPr>
          <w:b/>
          <w:color w:val="212121"/>
          <w:sz w:val="20"/>
          <w:szCs w:val="20"/>
        </w:rPr>
        <w:t>Table 2:</w:t>
      </w:r>
      <w:r w:rsidRPr="00987649">
        <w:rPr>
          <w:color w:val="212121"/>
          <w:sz w:val="20"/>
          <w:szCs w:val="20"/>
        </w:rPr>
        <w:t xml:space="preserve"> Clinical Factors</w:t>
      </w:r>
      <w:r>
        <w:rPr>
          <w:color w:val="212121"/>
          <w:sz w:val="20"/>
          <w:szCs w:val="20"/>
        </w:rPr>
        <w:t>.</w:t>
      </w:r>
    </w:p>
    <w:p w:rsidR="001A59CD" w:rsidRPr="00987649" w:rsidRDefault="001A59CD" w:rsidP="001A59CD">
      <w:pPr>
        <w:contextualSpacing/>
        <w:mirrorIndents/>
        <w:jc w:val="both"/>
        <w:rPr>
          <w:sz w:val="20"/>
          <w:szCs w:val="20"/>
        </w:rPr>
      </w:pPr>
    </w:p>
    <w:p w:rsidR="00E863A5" w:rsidRPr="00785CFC" w:rsidRDefault="00E863A5" w:rsidP="008450B0">
      <w:pPr>
        <w:contextualSpacing/>
        <w:mirrorIndents/>
        <w:jc w:val="both"/>
        <w:rPr>
          <w:b/>
          <w:sz w:val="20"/>
          <w:szCs w:val="20"/>
        </w:rPr>
      </w:pPr>
      <w:r w:rsidRPr="00785CFC">
        <w:rPr>
          <w:b/>
          <w:sz w:val="20"/>
          <w:szCs w:val="20"/>
        </w:rPr>
        <w:t>Patient Outcomes</w:t>
      </w:r>
    </w:p>
    <w:p w:rsidR="00E9527E" w:rsidRPr="00987649" w:rsidRDefault="00E9527E" w:rsidP="008450B0">
      <w:pPr>
        <w:contextualSpacing/>
        <w:mirrorIndents/>
        <w:jc w:val="both"/>
        <w:rPr>
          <w:sz w:val="20"/>
          <w:szCs w:val="20"/>
        </w:rPr>
      </w:pPr>
    </w:p>
    <w:p w:rsidR="00E863A5" w:rsidRDefault="00E863A5" w:rsidP="008450B0">
      <w:pPr>
        <w:contextualSpacing/>
        <w:mirrorIndents/>
        <w:jc w:val="both"/>
        <w:rPr>
          <w:sz w:val="20"/>
          <w:szCs w:val="20"/>
        </w:rPr>
      </w:pPr>
      <w:r w:rsidRPr="00987649">
        <w:rPr>
          <w:sz w:val="20"/>
          <w:szCs w:val="20"/>
        </w:rPr>
        <w:t xml:space="preserve">In our sample, 51.83% of patients that were </w:t>
      </w:r>
      <w:proofErr w:type="spellStart"/>
      <w:r w:rsidRPr="00987649">
        <w:rPr>
          <w:sz w:val="20"/>
          <w:szCs w:val="20"/>
        </w:rPr>
        <w:t>proned</w:t>
      </w:r>
      <w:proofErr w:type="spellEnd"/>
      <w:r w:rsidRPr="00987649">
        <w:rPr>
          <w:sz w:val="20"/>
          <w:szCs w:val="20"/>
        </w:rPr>
        <w:t xml:space="preserve"> developed HAPI, with 18.9% developing </w:t>
      </w:r>
      <w:r w:rsidR="00785CFC" w:rsidRPr="00987649">
        <w:rPr>
          <w:sz w:val="20"/>
          <w:szCs w:val="20"/>
        </w:rPr>
        <w:t>Deep Tissue Pressure Injury</w:t>
      </w:r>
      <w:r w:rsidRPr="00987649">
        <w:rPr>
          <w:sz w:val="20"/>
          <w:szCs w:val="20"/>
        </w:rPr>
        <w:t xml:space="preserve"> (DTPI), and 24% having multiple DTPI. Five percent of patients developed Stage I HAPI, 6.71% Stage II, and 8.54% with Stage III, Stage IV, and </w:t>
      </w:r>
      <w:proofErr w:type="spellStart"/>
      <w:r w:rsidRPr="00987649">
        <w:rPr>
          <w:sz w:val="20"/>
          <w:szCs w:val="20"/>
        </w:rPr>
        <w:t>unstageable</w:t>
      </w:r>
      <w:proofErr w:type="spellEnd"/>
      <w:r w:rsidRPr="00987649">
        <w:rPr>
          <w:sz w:val="20"/>
          <w:szCs w:val="20"/>
        </w:rPr>
        <w:t xml:space="preserve"> HAPI </w:t>
      </w:r>
      <w:r w:rsidRPr="00785CFC">
        <w:rPr>
          <w:color w:val="FF0000"/>
          <w:sz w:val="20"/>
          <w:szCs w:val="20"/>
        </w:rPr>
        <w:t>(Figure 1)</w:t>
      </w:r>
      <w:r w:rsidRPr="00987649">
        <w:rPr>
          <w:sz w:val="20"/>
          <w:szCs w:val="20"/>
        </w:rPr>
        <w:t xml:space="preserve">. Pressure injuries varied in location based on the type of prone therapy </w:t>
      </w:r>
      <w:r w:rsidRPr="00785CFC">
        <w:rPr>
          <w:color w:val="FF0000"/>
          <w:sz w:val="20"/>
          <w:szCs w:val="20"/>
        </w:rPr>
        <w:t>(Figure 2)</w:t>
      </w:r>
      <w:r w:rsidRPr="00987649">
        <w:rPr>
          <w:sz w:val="20"/>
          <w:szCs w:val="20"/>
        </w:rPr>
        <w:t xml:space="preserve">. There was no association with the incidence of HAPI using manual (50%) or specialty bed (51%) (p = .96). Other types of skin injuries, such as mucosal membrane injury and blisters, were commonly documented with both methods of </w:t>
      </w:r>
      <w:proofErr w:type="spellStart"/>
      <w:r w:rsidRPr="00987649">
        <w:rPr>
          <w:sz w:val="20"/>
          <w:szCs w:val="20"/>
        </w:rPr>
        <w:t>proning</w:t>
      </w:r>
      <w:proofErr w:type="spellEnd"/>
      <w:r w:rsidRPr="00987649">
        <w:rPr>
          <w:sz w:val="20"/>
          <w:szCs w:val="20"/>
        </w:rPr>
        <w:t xml:space="preserve"> therapy, however, there were 33.3% of blisters documented with </w:t>
      </w:r>
      <w:proofErr w:type="spellStart"/>
      <w:r w:rsidRPr="00987649">
        <w:rPr>
          <w:sz w:val="20"/>
          <w:szCs w:val="20"/>
        </w:rPr>
        <w:t>Rotoprone</w:t>
      </w:r>
      <w:proofErr w:type="spellEnd"/>
      <w:r w:rsidRPr="00987649">
        <w:rPr>
          <w:sz w:val="20"/>
          <w:szCs w:val="20"/>
        </w:rPr>
        <w:t xml:space="preserve"> therapy compared to 11.3 % with manual prone therapy </w:t>
      </w:r>
      <w:r w:rsidRPr="00407FD5">
        <w:rPr>
          <w:color w:val="FF0000"/>
          <w:sz w:val="20"/>
          <w:szCs w:val="20"/>
        </w:rPr>
        <w:t>(Figure 3)</w:t>
      </w:r>
      <w:r w:rsidRPr="00987649">
        <w:rPr>
          <w:sz w:val="20"/>
          <w:szCs w:val="20"/>
        </w:rPr>
        <w:t>.</w:t>
      </w:r>
    </w:p>
    <w:p w:rsidR="00003708" w:rsidRDefault="00003708" w:rsidP="008450B0">
      <w:pPr>
        <w:contextualSpacing/>
        <w:mirrorIndents/>
        <w:jc w:val="both"/>
        <w:rPr>
          <w:sz w:val="20"/>
          <w:szCs w:val="20"/>
        </w:rPr>
      </w:pPr>
    </w:p>
    <w:p w:rsidR="00003708" w:rsidRPr="00987649" w:rsidRDefault="00003708" w:rsidP="00003708">
      <w:pPr>
        <w:contextualSpacing/>
        <w:mirrorIndents/>
        <w:jc w:val="both"/>
        <w:rPr>
          <w:color w:val="212121"/>
          <w:sz w:val="20"/>
          <w:szCs w:val="20"/>
        </w:rPr>
      </w:pPr>
    </w:p>
    <w:p w:rsidR="00003708" w:rsidRPr="00987649" w:rsidRDefault="00003708" w:rsidP="00003708">
      <w:pPr>
        <w:contextualSpacing/>
        <w:mirrorIndents/>
        <w:jc w:val="center"/>
        <w:rPr>
          <w:color w:val="212121"/>
          <w:sz w:val="20"/>
          <w:szCs w:val="20"/>
        </w:rPr>
      </w:pPr>
      <w:r w:rsidRPr="00987649">
        <w:rPr>
          <w:noProof/>
          <w:sz w:val="20"/>
          <w:szCs w:val="20"/>
        </w:rPr>
        <w:drawing>
          <wp:inline distT="0" distB="0" distL="0" distR="0" wp14:anchorId="4C25598D" wp14:editId="4FE96437">
            <wp:extent cx="2892522" cy="18710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2021" cy="1883699"/>
                    </a:xfrm>
                    <a:prstGeom prst="rect">
                      <a:avLst/>
                    </a:prstGeom>
                  </pic:spPr>
                </pic:pic>
              </a:graphicData>
            </a:graphic>
          </wp:inline>
        </w:drawing>
      </w:r>
    </w:p>
    <w:p w:rsidR="00003708" w:rsidRDefault="00003708" w:rsidP="00003708">
      <w:pPr>
        <w:contextualSpacing/>
        <w:mirrorIndents/>
        <w:jc w:val="both"/>
        <w:rPr>
          <w:color w:val="212121"/>
          <w:sz w:val="20"/>
          <w:szCs w:val="20"/>
        </w:rPr>
      </w:pPr>
    </w:p>
    <w:p w:rsidR="00003708" w:rsidRPr="00987649" w:rsidRDefault="00003708" w:rsidP="007A37C6">
      <w:pPr>
        <w:contextualSpacing/>
        <w:mirrorIndents/>
        <w:jc w:val="center"/>
        <w:rPr>
          <w:color w:val="212121"/>
          <w:sz w:val="20"/>
          <w:szCs w:val="20"/>
        </w:rPr>
      </w:pPr>
      <w:r w:rsidRPr="00554D73">
        <w:rPr>
          <w:b/>
          <w:color w:val="212121"/>
          <w:sz w:val="20"/>
          <w:szCs w:val="20"/>
        </w:rPr>
        <w:t>Figure 1:</w:t>
      </w:r>
      <w:r>
        <w:rPr>
          <w:color w:val="212121"/>
          <w:sz w:val="20"/>
          <w:szCs w:val="20"/>
        </w:rPr>
        <w:t xml:space="preserve"> </w:t>
      </w:r>
      <w:r w:rsidRPr="00987649">
        <w:rPr>
          <w:color w:val="212121"/>
          <w:sz w:val="20"/>
          <w:szCs w:val="20"/>
        </w:rPr>
        <w:t xml:space="preserve">Note: US refers to </w:t>
      </w:r>
      <w:proofErr w:type="spellStart"/>
      <w:r w:rsidRPr="00987649">
        <w:rPr>
          <w:color w:val="212121"/>
          <w:sz w:val="20"/>
          <w:szCs w:val="20"/>
        </w:rPr>
        <w:t>unstageable</w:t>
      </w:r>
      <w:proofErr w:type="spellEnd"/>
      <w:r w:rsidRPr="00987649">
        <w:rPr>
          <w:color w:val="212121"/>
          <w:sz w:val="20"/>
          <w:szCs w:val="20"/>
        </w:rPr>
        <w:t xml:space="preserve"> pressure injuries, DTPI refers to Deep Tissue Pressure Injury</w:t>
      </w:r>
      <w:r w:rsidR="00F85238">
        <w:rPr>
          <w:color w:val="212121"/>
          <w:sz w:val="20"/>
          <w:szCs w:val="20"/>
        </w:rPr>
        <w:t>.</w:t>
      </w:r>
    </w:p>
    <w:p w:rsidR="00003708" w:rsidRDefault="00003708" w:rsidP="00003708">
      <w:pPr>
        <w:contextualSpacing/>
        <w:mirrorIndents/>
        <w:jc w:val="both"/>
        <w:rPr>
          <w:color w:val="212121"/>
          <w:sz w:val="20"/>
          <w:szCs w:val="20"/>
        </w:rPr>
      </w:pPr>
    </w:p>
    <w:p w:rsidR="00003708" w:rsidRDefault="00003708" w:rsidP="00003708">
      <w:pPr>
        <w:contextualSpacing/>
        <w:mirrorIndents/>
        <w:jc w:val="center"/>
        <w:rPr>
          <w:color w:val="212121"/>
          <w:sz w:val="20"/>
          <w:szCs w:val="20"/>
        </w:rPr>
      </w:pPr>
      <w:r w:rsidRPr="00987649">
        <w:rPr>
          <w:noProof/>
          <w:sz w:val="20"/>
          <w:szCs w:val="20"/>
        </w:rPr>
        <w:drawing>
          <wp:inline distT="0" distB="0" distL="0" distR="0" wp14:anchorId="47B684B2" wp14:editId="400D7E06">
            <wp:extent cx="2522727" cy="20137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4564" cy="2039209"/>
                    </a:xfrm>
                    <a:prstGeom prst="rect">
                      <a:avLst/>
                    </a:prstGeom>
                  </pic:spPr>
                </pic:pic>
              </a:graphicData>
            </a:graphic>
          </wp:inline>
        </w:drawing>
      </w:r>
    </w:p>
    <w:p w:rsidR="00003708" w:rsidRPr="00987649" w:rsidRDefault="00003708" w:rsidP="00003708">
      <w:pPr>
        <w:contextualSpacing/>
        <w:mirrorIndents/>
        <w:jc w:val="both"/>
        <w:rPr>
          <w:color w:val="212121"/>
          <w:sz w:val="20"/>
          <w:szCs w:val="20"/>
        </w:rPr>
      </w:pPr>
    </w:p>
    <w:p w:rsidR="00003708" w:rsidRDefault="00003708" w:rsidP="00003708">
      <w:pPr>
        <w:contextualSpacing/>
        <w:mirrorIndents/>
        <w:jc w:val="center"/>
        <w:rPr>
          <w:color w:val="212121"/>
          <w:sz w:val="20"/>
          <w:szCs w:val="20"/>
        </w:rPr>
      </w:pPr>
      <w:r w:rsidRPr="00B07973">
        <w:rPr>
          <w:b/>
          <w:color w:val="212121"/>
          <w:sz w:val="20"/>
          <w:szCs w:val="20"/>
        </w:rPr>
        <w:t>Figure 2:</w:t>
      </w:r>
      <w:r w:rsidRPr="00987649">
        <w:rPr>
          <w:color w:val="212121"/>
          <w:sz w:val="20"/>
          <w:szCs w:val="20"/>
        </w:rPr>
        <w:t xml:space="preserve"> Location of Pressure Injury</w:t>
      </w:r>
      <w:r>
        <w:rPr>
          <w:color w:val="212121"/>
          <w:sz w:val="20"/>
          <w:szCs w:val="20"/>
        </w:rPr>
        <w:t>.</w:t>
      </w:r>
    </w:p>
    <w:p w:rsidR="00ED7B70" w:rsidRDefault="00ED7B70" w:rsidP="00ED7B70">
      <w:pPr>
        <w:contextualSpacing/>
        <w:mirrorIndents/>
        <w:jc w:val="both"/>
        <w:rPr>
          <w:color w:val="212121"/>
          <w:sz w:val="20"/>
          <w:szCs w:val="20"/>
        </w:rPr>
      </w:pPr>
    </w:p>
    <w:p w:rsidR="00437CAB" w:rsidRDefault="00437CAB" w:rsidP="00657E39">
      <w:pPr>
        <w:contextualSpacing/>
        <w:mirrorIndents/>
        <w:jc w:val="center"/>
        <w:rPr>
          <w:color w:val="212121"/>
          <w:sz w:val="20"/>
          <w:szCs w:val="20"/>
        </w:rPr>
      </w:pPr>
      <w:r>
        <w:rPr>
          <w:sz w:val="20"/>
          <w:szCs w:val="20"/>
        </w:rPr>
        <w:lastRenderedPageBreak/>
        <w:br/>
      </w:r>
      <w:r w:rsidRPr="00987649">
        <w:rPr>
          <w:noProof/>
          <w:sz w:val="20"/>
          <w:szCs w:val="20"/>
        </w:rPr>
        <w:drawing>
          <wp:inline distT="0" distB="0" distL="0" distR="0" wp14:anchorId="78CAFCB4" wp14:editId="1E4D8DFD">
            <wp:extent cx="2757574" cy="1693628"/>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3933" cy="1728242"/>
                    </a:xfrm>
                    <a:prstGeom prst="rect">
                      <a:avLst/>
                    </a:prstGeom>
                  </pic:spPr>
                </pic:pic>
              </a:graphicData>
            </a:graphic>
          </wp:inline>
        </w:drawing>
      </w:r>
    </w:p>
    <w:p w:rsidR="00437CAB" w:rsidRPr="00987649" w:rsidRDefault="00437CAB" w:rsidP="00437CAB">
      <w:pPr>
        <w:contextualSpacing/>
        <w:mirrorIndents/>
        <w:jc w:val="both"/>
        <w:rPr>
          <w:color w:val="212121"/>
          <w:sz w:val="20"/>
          <w:szCs w:val="20"/>
        </w:rPr>
      </w:pPr>
    </w:p>
    <w:p w:rsidR="00437CAB" w:rsidRPr="00987649" w:rsidRDefault="00437CAB" w:rsidP="00437CAB">
      <w:pPr>
        <w:contextualSpacing/>
        <w:mirrorIndents/>
        <w:jc w:val="center"/>
        <w:rPr>
          <w:sz w:val="20"/>
          <w:szCs w:val="20"/>
        </w:rPr>
      </w:pPr>
      <w:r w:rsidRPr="004241F7">
        <w:rPr>
          <w:b/>
          <w:color w:val="212121"/>
          <w:sz w:val="20"/>
          <w:szCs w:val="20"/>
        </w:rPr>
        <w:t>Figure 3:</w:t>
      </w:r>
      <w:r w:rsidRPr="00987649">
        <w:rPr>
          <w:color w:val="212121"/>
          <w:sz w:val="20"/>
          <w:szCs w:val="20"/>
        </w:rPr>
        <w:t xml:space="preserve"> Other Skin Injury</w:t>
      </w:r>
      <w:r>
        <w:rPr>
          <w:color w:val="212121"/>
          <w:sz w:val="20"/>
          <w:szCs w:val="20"/>
        </w:rPr>
        <w:t>.</w:t>
      </w:r>
    </w:p>
    <w:p w:rsidR="00E9527E" w:rsidRPr="00987649" w:rsidRDefault="00E9527E" w:rsidP="008450B0">
      <w:pPr>
        <w:contextualSpacing/>
        <w:mirrorIndents/>
        <w:jc w:val="both"/>
        <w:rPr>
          <w:sz w:val="20"/>
          <w:szCs w:val="20"/>
        </w:rPr>
      </w:pPr>
    </w:p>
    <w:p w:rsidR="00E863A5" w:rsidRDefault="00E863A5" w:rsidP="008450B0">
      <w:pPr>
        <w:contextualSpacing/>
        <w:mirrorIndents/>
        <w:jc w:val="both"/>
        <w:rPr>
          <w:sz w:val="20"/>
          <w:szCs w:val="20"/>
        </w:rPr>
      </w:pPr>
      <w:r w:rsidRPr="00987649">
        <w:rPr>
          <w:sz w:val="20"/>
          <w:szCs w:val="20"/>
        </w:rPr>
        <w:t>There was a significant association between the method of prone therapy and mortality.</w:t>
      </w:r>
      <w:r w:rsidR="00AE6041">
        <w:rPr>
          <w:sz w:val="20"/>
          <w:szCs w:val="20"/>
        </w:rPr>
        <w:t xml:space="preserve"> </w:t>
      </w:r>
      <w:r w:rsidRPr="00987649">
        <w:rPr>
          <w:sz w:val="20"/>
          <w:szCs w:val="20"/>
        </w:rPr>
        <w:t xml:space="preserve">Of the patients who were manually </w:t>
      </w:r>
      <w:proofErr w:type="spellStart"/>
      <w:r w:rsidRPr="00987649">
        <w:rPr>
          <w:sz w:val="20"/>
          <w:szCs w:val="20"/>
        </w:rPr>
        <w:t>proned</w:t>
      </w:r>
      <w:proofErr w:type="spellEnd"/>
      <w:r w:rsidRPr="00987649">
        <w:rPr>
          <w:sz w:val="20"/>
          <w:szCs w:val="20"/>
        </w:rPr>
        <w:t xml:space="preserve">, 80.19% died compared to 58.18% of the patients who were placed on the </w:t>
      </w:r>
      <w:proofErr w:type="spellStart"/>
      <w:r w:rsidRPr="00987649">
        <w:rPr>
          <w:sz w:val="20"/>
          <w:szCs w:val="20"/>
        </w:rPr>
        <w:t>Rotoprone</w:t>
      </w:r>
      <w:proofErr w:type="spellEnd"/>
      <w:r w:rsidRPr="006D4894">
        <w:rPr>
          <w:color w:val="FF0000"/>
          <w:sz w:val="20"/>
          <w:szCs w:val="20"/>
          <w:vertAlign w:val="superscript"/>
        </w:rPr>
        <w:t>®</w:t>
      </w:r>
      <w:r w:rsidRPr="00987649">
        <w:rPr>
          <w:sz w:val="20"/>
          <w:szCs w:val="20"/>
        </w:rPr>
        <w:t xml:space="preserve"> bed method (p-value = .003). The mortality risk for patients who were manually </w:t>
      </w:r>
      <w:proofErr w:type="spellStart"/>
      <w:r w:rsidRPr="00987649">
        <w:rPr>
          <w:sz w:val="20"/>
          <w:szCs w:val="20"/>
        </w:rPr>
        <w:t>proned</w:t>
      </w:r>
      <w:proofErr w:type="spellEnd"/>
      <w:r w:rsidRPr="00987649">
        <w:rPr>
          <w:sz w:val="20"/>
          <w:szCs w:val="20"/>
        </w:rPr>
        <w:t xml:space="preserve"> (mean .59, SD .28) was significantly higher than those who were placed on the </w:t>
      </w:r>
      <w:proofErr w:type="spellStart"/>
      <w:r w:rsidRPr="00987649">
        <w:rPr>
          <w:sz w:val="20"/>
          <w:szCs w:val="20"/>
        </w:rPr>
        <w:t>Rotoprone</w:t>
      </w:r>
      <w:proofErr w:type="spellEnd"/>
      <w:r w:rsidRPr="006D4894">
        <w:rPr>
          <w:color w:val="FF0000"/>
          <w:sz w:val="20"/>
          <w:szCs w:val="20"/>
          <w:vertAlign w:val="superscript"/>
        </w:rPr>
        <w:t>®</w:t>
      </w:r>
      <w:r w:rsidRPr="00987649">
        <w:rPr>
          <w:sz w:val="20"/>
          <w:szCs w:val="20"/>
        </w:rPr>
        <w:t xml:space="preserve"> bed (mean .49, SD .23) (p = .0156). There were no significant differences between type of prone method and HLOS (p = .380), ICU LOS (p = .209), and improvement in oxygenat</w:t>
      </w:r>
      <w:r w:rsidR="006D4894">
        <w:rPr>
          <w:sz w:val="20"/>
          <w:szCs w:val="20"/>
        </w:rPr>
        <w:t xml:space="preserve">ion (p = .4842) </w:t>
      </w:r>
      <w:r w:rsidR="006D4894" w:rsidRPr="006D4894">
        <w:rPr>
          <w:color w:val="FF0000"/>
          <w:sz w:val="20"/>
          <w:szCs w:val="20"/>
        </w:rPr>
        <w:t>(Tables 2 &amp; 3)</w:t>
      </w:r>
      <w:r w:rsidR="006D4894">
        <w:rPr>
          <w:sz w:val="20"/>
          <w:szCs w:val="20"/>
        </w:rPr>
        <w:t>.</w:t>
      </w:r>
    </w:p>
    <w:p w:rsidR="00C7137B" w:rsidRDefault="00C7137B" w:rsidP="00C7137B">
      <w:pPr>
        <w:contextualSpacing/>
        <w:mirrorIndents/>
        <w:jc w:val="both"/>
        <w:rPr>
          <w:color w:val="212121"/>
          <w:sz w:val="20"/>
          <w:szCs w:val="20"/>
        </w:rPr>
      </w:pPr>
    </w:p>
    <w:tbl>
      <w:tblPr>
        <w:tblW w:w="7735" w:type="dxa"/>
        <w:jc w:val="center"/>
        <w:tblLook w:val="04A0" w:firstRow="1" w:lastRow="0" w:firstColumn="1" w:lastColumn="0" w:noHBand="0" w:noVBand="1"/>
      </w:tblPr>
      <w:tblGrid>
        <w:gridCol w:w="2335"/>
        <w:gridCol w:w="1800"/>
        <w:gridCol w:w="1160"/>
        <w:gridCol w:w="2440"/>
      </w:tblGrid>
      <w:tr w:rsidR="00C7137B" w:rsidRPr="00EB1D11" w:rsidTr="00066B0E">
        <w:trPr>
          <w:trHeight w:val="208"/>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000000"/>
                <w:sz w:val="20"/>
                <w:szCs w:val="20"/>
              </w:rPr>
            </w:pPr>
            <w:r w:rsidRPr="00EB1D11">
              <w:rPr>
                <w:color w:val="000000"/>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bCs/>
                <w:color w:val="212121"/>
                <w:sz w:val="20"/>
                <w:szCs w:val="20"/>
              </w:rPr>
              <w:t>Manual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proofErr w:type="spellStart"/>
            <w:r w:rsidRPr="00EB1D11">
              <w:rPr>
                <w:bCs/>
                <w:color w:val="212121"/>
                <w:sz w:val="20"/>
                <w:szCs w:val="20"/>
              </w:rPr>
              <w:t>Rotoprone</w:t>
            </w:r>
            <w:proofErr w:type="spellEnd"/>
            <w:r w:rsidRPr="00EB1D11">
              <w:rPr>
                <w:bCs/>
                <w:color w:val="FF0000"/>
                <w:sz w:val="20"/>
                <w:szCs w:val="20"/>
                <w:vertAlign w:val="superscript"/>
              </w:rPr>
              <w:t>®</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bCs/>
                <w:color w:val="212121"/>
                <w:sz w:val="20"/>
                <w:szCs w:val="20"/>
              </w:rPr>
              <w:t>Statistic</w:t>
            </w:r>
          </w:p>
        </w:tc>
      </w:tr>
      <w:tr w:rsidR="00C7137B" w:rsidRPr="00EB1D11" w:rsidTr="00066B0E">
        <w:trPr>
          <w:trHeight w:val="208"/>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C7137B" w:rsidRPr="00EB1D11" w:rsidRDefault="00C7137B" w:rsidP="00ED795D">
            <w:pPr>
              <w:jc w:val="center"/>
              <w:rPr>
                <w:color w:val="000000"/>
                <w:sz w:val="20"/>
                <w:szCs w:val="20"/>
              </w:rPr>
            </w:pPr>
            <w:r w:rsidRPr="00EB1D11">
              <w:rPr>
                <w:color w:val="000000"/>
                <w:sz w:val="20"/>
                <w:szCs w:val="20"/>
              </w:rPr>
              <w:t>HAPI Incidence</w:t>
            </w:r>
            <w:r w:rsidR="00ED795D">
              <w:rPr>
                <w:color w:val="000000"/>
                <w:sz w:val="20"/>
                <w:szCs w:val="20"/>
              </w:rPr>
              <w:t xml:space="preserve"> </w:t>
            </w:r>
            <w:r w:rsidRPr="00EB1D11">
              <w:rPr>
                <w:color w:val="000000"/>
                <w:sz w:val="20"/>
                <w:szCs w:val="20"/>
              </w:rPr>
              <w:t>n (%)</w:t>
            </w:r>
          </w:p>
        </w:tc>
        <w:tc>
          <w:tcPr>
            <w:tcW w:w="180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color w:val="212121"/>
                <w:sz w:val="20"/>
                <w:szCs w:val="20"/>
              </w:rPr>
              <w:t>53/106 (50%)</w:t>
            </w:r>
          </w:p>
        </w:tc>
        <w:tc>
          <w:tcPr>
            <w:tcW w:w="116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color w:val="212121"/>
                <w:sz w:val="20"/>
                <w:szCs w:val="20"/>
              </w:rPr>
              <w:t>28/54 (51%)</w:t>
            </w:r>
          </w:p>
        </w:tc>
        <w:tc>
          <w:tcPr>
            <w:tcW w:w="244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iCs/>
                <w:color w:val="212121"/>
                <w:sz w:val="20"/>
                <w:szCs w:val="20"/>
              </w:rPr>
              <w:t>p = 0.9567</w:t>
            </w:r>
          </w:p>
        </w:tc>
      </w:tr>
      <w:tr w:rsidR="00C7137B" w:rsidRPr="00EB1D11" w:rsidTr="00066B0E">
        <w:trPr>
          <w:trHeight w:val="208"/>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066B0E" w:rsidRDefault="00C7137B" w:rsidP="00066B0E">
            <w:pPr>
              <w:jc w:val="center"/>
              <w:rPr>
                <w:color w:val="000000"/>
                <w:sz w:val="20"/>
                <w:szCs w:val="20"/>
              </w:rPr>
            </w:pPr>
            <w:r w:rsidRPr="00EB1D11">
              <w:rPr>
                <w:color w:val="000000"/>
                <w:sz w:val="20"/>
                <w:szCs w:val="20"/>
              </w:rPr>
              <w:t>ICU LOS</w:t>
            </w:r>
            <w:r w:rsidR="00066B0E">
              <w:rPr>
                <w:color w:val="000000"/>
                <w:sz w:val="20"/>
                <w:szCs w:val="20"/>
              </w:rPr>
              <w:t xml:space="preserve"> </w:t>
            </w:r>
          </w:p>
          <w:p w:rsidR="00C7137B" w:rsidRPr="00EB1D11" w:rsidRDefault="00C7137B" w:rsidP="00066B0E">
            <w:pPr>
              <w:jc w:val="center"/>
              <w:rPr>
                <w:color w:val="000000"/>
                <w:sz w:val="20"/>
                <w:szCs w:val="20"/>
              </w:rPr>
            </w:pPr>
            <w:r w:rsidRPr="00EB1D11">
              <w:rPr>
                <w:color w:val="000000"/>
                <w:sz w:val="20"/>
                <w:szCs w:val="20"/>
              </w:rPr>
              <w:t>mean (SD)</w:t>
            </w:r>
          </w:p>
        </w:tc>
        <w:tc>
          <w:tcPr>
            <w:tcW w:w="180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color w:val="212121"/>
                <w:sz w:val="20"/>
                <w:szCs w:val="20"/>
              </w:rPr>
              <w:t>17.77 (12.96)</w:t>
            </w:r>
          </w:p>
        </w:tc>
        <w:tc>
          <w:tcPr>
            <w:tcW w:w="116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color w:val="212121"/>
                <w:sz w:val="20"/>
                <w:szCs w:val="20"/>
              </w:rPr>
              <w:t>17.08 (12.89)</w:t>
            </w:r>
          </w:p>
        </w:tc>
        <w:tc>
          <w:tcPr>
            <w:tcW w:w="244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000000"/>
                <w:sz w:val="20"/>
                <w:szCs w:val="20"/>
              </w:rPr>
            </w:pPr>
            <w:r w:rsidRPr="00EB1D11">
              <w:rPr>
                <w:color w:val="000000"/>
                <w:sz w:val="20"/>
                <w:szCs w:val="20"/>
              </w:rPr>
              <w:t>p = 0.2095</w:t>
            </w:r>
            <w:r w:rsidRPr="00EB1D11">
              <w:rPr>
                <w:color w:val="000000"/>
                <w:sz w:val="20"/>
                <w:szCs w:val="20"/>
              </w:rPr>
              <w:br/>
              <w:t>95% CI (-6.45, 2.71)</w:t>
            </w:r>
          </w:p>
        </w:tc>
      </w:tr>
      <w:tr w:rsidR="00C7137B" w:rsidRPr="00EB1D11" w:rsidTr="00066B0E">
        <w:trPr>
          <w:trHeight w:val="208"/>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000000"/>
                <w:sz w:val="20"/>
                <w:szCs w:val="20"/>
              </w:rPr>
            </w:pPr>
            <w:r w:rsidRPr="00EB1D11">
              <w:rPr>
                <w:color w:val="000000"/>
                <w:sz w:val="20"/>
                <w:szCs w:val="20"/>
              </w:rPr>
              <w:t>Hospital LOS</w:t>
            </w:r>
            <w:r w:rsidRPr="00EB1D11">
              <w:rPr>
                <w:color w:val="000000"/>
                <w:sz w:val="20"/>
                <w:szCs w:val="20"/>
              </w:rPr>
              <w:br/>
              <w:t>mean (SD)</w:t>
            </w:r>
          </w:p>
        </w:tc>
        <w:tc>
          <w:tcPr>
            <w:tcW w:w="180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color w:val="212121"/>
                <w:sz w:val="20"/>
                <w:szCs w:val="20"/>
              </w:rPr>
              <w:t>23.03 (14.46)</w:t>
            </w:r>
          </w:p>
        </w:tc>
        <w:tc>
          <w:tcPr>
            <w:tcW w:w="116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color w:val="212121"/>
                <w:sz w:val="20"/>
                <w:szCs w:val="20"/>
              </w:rPr>
              <w:t>22.78 (14.53)</w:t>
            </w:r>
          </w:p>
        </w:tc>
        <w:tc>
          <w:tcPr>
            <w:tcW w:w="244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000000"/>
                <w:sz w:val="20"/>
                <w:szCs w:val="20"/>
              </w:rPr>
            </w:pPr>
            <w:r w:rsidRPr="00EB1D11">
              <w:rPr>
                <w:color w:val="000000"/>
                <w:sz w:val="20"/>
                <w:szCs w:val="20"/>
              </w:rPr>
              <w:t>p = 0.380</w:t>
            </w:r>
            <w:r w:rsidRPr="00EB1D11">
              <w:rPr>
                <w:color w:val="000000"/>
                <w:sz w:val="20"/>
                <w:szCs w:val="20"/>
              </w:rPr>
              <w:br/>
              <w:t>95% CI (-5.98, 4.38)</w:t>
            </w:r>
          </w:p>
        </w:tc>
      </w:tr>
      <w:tr w:rsidR="00C7137B" w:rsidRPr="00EB1D11" w:rsidTr="00066B0E">
        <w:trPr>
          <w:trHeight w:val="208"/>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000000"/>
                <w:sz w:val="20"/>
                <w:szCs w:val="20"/>
              </w:rPr>
            </w:pPr>
            <w:r w:rsidRPr="00EB1D11">
              <w:rPr>
                <w:color w:val="000000"/>
                <w:sz w:val="20"/>
                <w:szCs w:val="20"/>
              </w:rPr>
              <w:t>Risk for Mortality</w:t>
            </w:r>
            <w:r w:rsidRPr="00EB1D11">
              <w:rPr>
                <w:color w:val="000000"/>
                <w:sz w:val="20"/>
                <w:szCs w:val="20"/>
              </w:rPr>
              <w:br/>
              <w:t xml:space="preserve">mean (SD) </w:t>
            </w:r>
          </w:p>
        </w:tc>
        <w:tc>
          <w:tcPr>
            <w:tcW w:w="180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color w:val="212121"/>
                <w:sz w:val="20"/>
                <w:szCs w:val="20"/>
              </w:rPr>
              <w:t>.5862 (0.2858)</w:t>
            </w:r>
          </w:p>
        </w:tc>
        <w:tc>
          <w:tcPr>
            <w:tcW w:w="116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212121"/>
                <w:sz w:val="20"/>
                <w:szCs w:val="20"/>
              </w:rPr>
            </w:pPr>
            <w:r w:rsidRPr="00EB1D11">
              <w:rPr>
                <w:color w:val="212121"/>
                <w:sz w:val="20"/>
                <w:szCs w:val="20"/>
              </w:rPr>
              <w:t>.4907 (0.2309)</w:t>
            </w:r>
          </w:p>
        </w:tc>
        <w:tc>
          <w:tcPr>
            <w:tcW w:w="2440" w:type="dxa"/>
            <w:tcBorders>
              <w:top w:val="nil"/>
              <w:left w:val="nil"/>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000000"/>
                <w:sz w:val="20"/>
                <w:szCs w:val="20"/>
              </w:rPr>
            </w:pPr>
            <w:r w:rsidRPr="00EB1D11">
              <w:rPr>
                <w:color w:val="000000"/>
                <w:sz w:val="20"/>
                <w:szCs w:val="20"/>
              </w:rPr>
              <w:t>p = 0.0156</w:t>
            </w:r>
            <w:r>
              <w:rPr>
                <w:color w:val="000000"/>
                <w:sz w:val="20"/>
                <w:szCs w:val="20"/>
              </w:rPr>
              <w:t xml:space="preserve"> </w:t>
            </w:r>
            <w:r w:rsidRPr="00EB1D11">
              <w:rPr>
                <w:color w:val="000000"/>
                <w:sz w:val="20"/>
                <w:szCs w:val="20"/>
              </w:rPr>
              <w:t>95% CI (0.0087, 0.1824)</w:t>
            </w:r>
          </w:p>
        </w:tc>
      </w:tr>
      <w:tr w:rsidR="00C7137B" w:rsidRPr="00EB1D11" w:rsidTr="00066B0E">
        <w:trPr>
          <w:trHeight w:val="208"/>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C7137B" w:rsidRPr="00EB1D11" w:rsidRDefault="00C7137B" w:rsidP="0024703D">
            <w:pPr>
              <w:jc w:val="center"/>
              <w:rPr>
                <w:color w:val="000000"/>
                <w:sz w:val="20"/>
                <w:szCs w:val="20"/>
              </w:rPr>
            </w:pPr>
            <w:r w:rsidRPr="00EB1D11">
              <w:rPr>
                <w:color w:val="000000"/>
                <w:sz w:val="20"/>
                <w:szCs w:val="20"/>
              </w:rPr>
              <w:t>Mortality</w:t>
            </w:r>
            <w:r w:rsidRPr="00EB1D11">
              <w:rPr>
                <w:color w:val="000000"/>
                <w:sz w:val="20"/>
                <w:szCs w:val="20"/>
              </w:rPr>
              <w:br/>
              <w:t>n (%)</w:t>
            </w:r>
          </w:p>
        </w:tc>
        <w:tc>
          <w:tcPr>
            <w:tcW w:w="1800" w:type="dxa"/>
            <w:tcBorders>
              <w:top w:val="nil"/>
              <w:left w:val="nil"/>
              <w:bottom w:val="single" w:sz="4" w:space="0" w:color="auto"/>
              <w:right w:val="single" w:sz="4" w:space="0" w:color="auto"/>
            </w:tcBorders>
            <w:shd w:val="clear" w:color="auto" w:fill="auto"/>
            <w:noWrap/>
            <w:vAlign w:val="center"/>
            <w:hideMark/>
          </w:tcPr>
          <w:p w:rsidR="00C7137B" w:rsidRPr="00EB1D11" w:rsidRDefault="00C7137B" w:rsidP="0024703D">
            <w:pPr>
              <w:jc w:val="center"/>
              <w:rPr>
                <w:color w:val="212121"/>
                <w:sz w:val="20"/>
                <w:szCs w:val="20"/>
              </w:rPr>
            </w:pPr>
            <w:r w:rsidRPr="00EB1D11">
              <w:rPr>
                <w:color w:val="212121"/>
                <w:sz w:val="20"/>
                <w:szCs w:val="20"/>
              </w:rPr>
              <w:t>85/106 (80.19%)</w:t>
            </w:r>
          </w:p>
        </w:tc>
        <w:tc>
          <w:tcPr>
            <w:tcW w:w="1160" w:type="dxa"/>
            <w:tcBorders>
              <w:top w:val="nil"/>
              <w:left w:val="nil"/>
              <w:bottom w:val="single" w:sz="4" w:space="0" w:color="auto"/>
              <w:right w:val="single" w:sz="4" w:space="0" w:color="auto"/>
            </w:tcBorders>
            <w:shd w:val="clear" w:color="auto" w:fill="auto"/>
            <w:noWrap/>
            <w:vAlign w:val="center"/>
            <w:hideMark/>
          </w:tcPr>
          <w:p w:rsidR="00C7137B" w:rsidRPr="00EB1D11" w:rsidRDefault="00C7137B" w:rsidP="0024703D">
            <w:pPr>
              <w:jc w:val="center"/>
              <w:rPr>
                <w:color w:val="212121"/>
                <w:sz w:val="20"/>
                <w:szCs w:val="20"/>
              </w:rPr>
            </w:pPr>
            <w:r w:rsidRPr="00EB1D11">
              <w:rPr>
                <w:color w:val="212121"/>
                <w:sz w:val="20"/>
                <w:szCs w:val="20"/>
              </w:rPr>
              <w:t>32/54 (58.18%)</w:t>
            </w:r>
          </w:p>
        </w:tc>
        <w:tc>
          <w:tcPr>
            <w:tcW w:w="2440" w:type="dxa"/>
            <w:tcBorders>
              <w:top w:val="nil"/>
              <w:left w:val="nil"/>
              <w:bottom w:val="single" w:sz="4" w:space="0" w:color="auto"/>
              <w:right w:val="single" w:sz="4" w:space="0" w:color="auto"/>
            </w:tcBorders>
            <w:shd w:val="clear" w:color="auto" w:fill="auto"/>
            <w:noWrap/>
            <w:vAlign w:val="center"/>
            <w:hideMark/>
          </w:tcPr>
          <w:p w:rsidR="00C7137B" w:rsidRPr="00EB1D11" w:rsidRDefault="00C7137B" w:rsidP="0024703D">
            <w:pPr>
              <w:jc w:val="center"/>
              <w:rPr>
                <w:color w:val="212121"/>
                <w:sz w:val="20"/>
                <w:szCs w:val="20"/>
              </w:rPr>
            </w:pPr>
            <w:r w:rsidRPr="00EB1D11">
              <w:rPr>
                <w:iCs/>
                <w:color w:val="212121"/>
                <w:sz w:val="20"/>
                <w:szCs w:val="20"/>
              </w:rPr>
              <w:t>p = 0.003</w:t>
            </w:r>
          </w:p>
        </w:tc>
      </w:tr>
    </w:tbl>
    <w:p w:rsidR="00C7137B" w:rsidRPr="00987649" w:rsidRDefault="00C7137B" w:rsidP="00C7137B">
      <w:pPr>
        <w:contextualSpacing/>
        <w:mirrorIndents/>
        <w:jc w:val="both"/>
        <w:rPr>
          <w:color w:val="212121"/>
          <w:sz w:val="20"/>
          <w:szCs w:val="20"/>
        </w:rPr>
      </w:pPr>
    </w:p>
    <w:p w:rsidR="00C7137B" w:rsidRDefault="00C7137B" w:rsidP="00C7137B">
      <w:pPr>
        <w:contextualSpacing/>
        <w:mirrorIndents/>
        <w:jc w:val="center"/>
        <w:rPr>
          <w:color w:val="212121"/>
          <w:sz w:val="20"/>
          <w:szCs w:val="20"/>
        </w:rPr>
      </w:pPr>
      <w:r w:rsidRPr="00EA0673">
        <w:rPr>
          <w:b/>
          <w:color w:val="212121"/>
          <w:sz w:val="20"/>
          <w:szCs w:val="20"/>
        </w:rPr>
        <w:t>Table 3:</w:t>
      </w:r>
      <w:r w:rsidRPr="00987649">
        <w:rPr>
          <w:color w:val="212121"/>
          <w:sz w:val="20"/>
          <w:szCs w:val="20"/>
        </w:rPr>
        <w:t xml:space="preserve"> Outcomes</w:t>
      </w:r>
      <w:r>
        <w:rPr>
          <w:color w:val="212121"/>
          <w:sz w:val="20"/>
          <w:szCs w:val="20"/>
        </w:rPr>
        <w:t>.</w:t>
      </w:r>
    </w:p>
    <w:p w:rsidR="00C7137B" w:rsidRPr="00987649" w:rsidRDefault="00C7137B" w:rsidP="008450B0">
      <w:pPr>
        <w:contextualSpacing/>
        <w:mirrorIndents/>
        <w:jc w:val="both"/>
        <w:rPr>
          <w:sz w:val="20"/>
          <w:szCs w:val="20"/>
        </w:rPr>
      </w:pPr>
    </w:p>
    <w:p w:rsidR="00E863A5" w:rsidRPr="006D4894" w:rsidRDefault="00E863A5" w:rsidP="008450B0">
      <w:pPr>
        <w:contextualSpacing/>
        <w:mirrorIndents/>
        <w:jc w:val="both"/>
        <w:rPr>
          <w:b/>
          <w:sz w:val="20"/>
          <w:szCs w:val="20"/>
        </w:rPr>
      </w:pPr>
      <w:r w:rsidRPr="006D4894">
        <w:rPr>
          <w:b/>
          <w:sz w:val="20"/>
          <w:szCs w:val="20"/>
        </w:rPr>
        <w:t xml:space="preserve">Association </w:t>
      </w:r>
      <w:r w:rsidR="006D4894">
        <w:rPr>
          <w:b/>
          <w:sz w:val="20"/>
          <w:szCs w:val="20"/>
        </w:rPr>
        <w:t>of Factors o</w:t>
      </w:r>
      <w:r w:rsidR="0072104F">
        <w:rPr>
          <w:b/>
          <w:sz w:val="20"/>
          <w:szCs w:val="20"/>
        </w:rPr>
        <w:t>n Development o</w:t>
      </w:r>
      <w:r w:rsidR="006D4894" w:rsidRPr="006D4894">
        <w:rPr>
          <w:b/>
          <w:sz w:val="20"/>
          <w:szCs w:val="20"/>
        </w:rPr>
        <w:t>f HAPI</w:t>
      </w:r>
    </w:p>
    <w:p w:rsidR="006D4894" w:rsidRPr="00987649" w:rsidRDefault="006D4894" w:rsidP="008450B0">
      <w:pPr>
        <w:contextualSpacing/>
        <w:mirrorIndents/>
        <w:jc w:val="both"/>
        <w:rPr>
          <w:sz w:val="20"/>
          <w:szCs w:val="20"/>
        </w:rPr>
      </w:pPr>
    </w:p>
    <w:p w:rsidR="00E863A5" w:rsidRDefault="00E863A5" w:rsidP="008450B0">
      <w:pPr>
        <w:contextualSpacing/>
        <w:mirrorIndents/>
        <w:jc w:val="both"/>
        <w:rPr>
          <w:sz w:val="20"/>
          <w:szCs w:val="20"/>
        </w:rPr>
      </w:pPr>
      <w:r w:rsidRPr="00987649">
        <w:rPr>
          <w:sz w:val="20"/>
          <w:szCs w:val="20"/>
        </w:rPr>
        <w:t xml:space="preserve">Using </w:t>
      </w:r>
      <m:oMath>
        <m:r>
          <m:rPr>
            <m:sty m:val="p"/>
          </m:rPr>
          <w:rPr>
            <w:rFonts w:ascii="Cambria Math" w:hAnsi="Cambria Math"/>
            <w:sz w:val="20"/>
            <w:szCs w:val="20"/>
          </w:rPr>
          <m:t>χ</m:t>
        </m:r>
      </m:oMath>
      <w:r w:rsidRPr="006D4894">
        <w:rPr>
          <w:color w:val="FF0000"/>
          <w:sz w:val="20"/>
          <w:szCs w:val="20"/>
          <w:vertAlign w:val="superscript"/>
        </w:rPr>
        <w:t>2</w:t>
      </w:r>
      <w:r w:rsidRPr="00987649">
        <w:rPr>
          <w:sz w:val="20"/>
          <w:szCs w:val="20"/>
        </w:rPr>
        <w:t xml:space="preserve"> analyses, prone therapy was found to be significantly associated with the development of HAPI (53.33%) versus 27.27% in those that were not </w:t>
      </w:r>
      <w:proofErr w:type="spellStart"/>
      <w:r w:rsidRPr="00987649">
        <w:rPr>
          <w:sz w:val="20"/>
          <w:szCs w:val="20"/>
        </w:rPr>
        <w:t>proned</w:t>
      </w:r>
      <w:proofErr w:type="spellEnd"/>
      <w:r w:rsidRPr="00987649">
        <w:rPr>
          <w:sz w:val="20"/>
          <w:szCs w:val="20"/>
        </w:rPr>
        <w:t xml:space="preserve"> (p = 0.0003). Additionally, having the diagnosis of COVID-19 was not significantly associated with HAPI development, with 50% of patients with COVID developing HAPI compared to 44.4% of non-COVID patients (p = .8462). Using a two-sample t-test, we did not find any differences in BMI between the patients who had HAPI and </w:t>
      </w:r>
      <w:r w:rsidR="00E9527E">
        <w:rPr>
          <w:sz w:val="20"/>
          <w:szCs w:val="20"/>
        </w:rPr>
        <w:t>those who did not (p = .3573).</w:t>
      </w:r>
    </w:p>
    <w:p w:rsidR="00E9527E" w:rsidRPr="00987649" w:rsidRDefault="00E9527E" w:rsidP="008450B0">
      <w:pPr>
        <w:contextualSpacing/>
        <w:mirrorIndents/>
        <w:jc w:val="both"/>
        <w:rPr>
          <w:sz w:val="20"/>
          <w:szCs w:val="20"/>
        </w:rPr>
      </w:pPr>
    </w:p>
    <w:p w:rsidR="00E863A5" w:rsidRPr="006D4894" w:rsidRDefault="006D4894" w:rsidP="008450B0">
      <w:pPr>
        <w:contextualSpacing/>
        <w:mirrorIndents/>
        <w:jc w:val="both"/>
        <w:rPr>
          <w:b/>
          <w:sz w:val="22"/>
          <w:szCs w:val="22"/>
        </w:rPr>
      </w:pPr>
      <w:r w:rsidRPr="006D4894">
        <w:rPr>
          <w:b/>
          <w:sz w:val="22"/>
          <w:szCs w:val="22"/>
        </w:rPr>
        <w:t>Discussion</w:t>
      </w:r>
    </w:p>
    <w:p w:rsidR="00E9527E" w:rsidRPr="00987649" w:rsidRDefault="00E9527E" w:rsidP="008450B0">
      <w:pPr>
        <w:contextualSpacing/>
        <w:mirrorIndents/>
        <w:jc w:val="both"/>
        <w:rPr>
          <w:sz w:val="20"/>
          <w:szCs w:val="20"/>
        </w:rPr>
      </w:pPr>
    </w:p>
    <w:p w:rsidR="001750D2" w:rsidRDefault="00C45225" w:rsidP="008450B0">
      <w:pPr>
        <w:contextualSpacing/>
        <w:mirrorIndents/>
        <w:jc w:val="both"/>
        <w:rPr>
          <w:sz w:val="20"/>
          <w:szCs w:val="20"/>
        </w:rPr>
      </w:pPr>
      <w:proofErr w:type="spellStart"/>
      <w:r w:rsidRPr="00987649">
        <w:rPr>
          <w:sz w:val="20"/>
          <w:szCs w:val="20"/>
        </w:rPr>
        <w:t>Proning</w:t>
      </w:r>
      <w:proofErr w:type="spellEnd"/>
      <w:r w:rsidRPr="00987649">
        <w:rPr>
          <w:sz w:val="20"/>
          <w:szCs w:val="20"/>
        </w:rPr>
        <w:t xml:space="preserve"> </w:t>
      </w:r>
      <w:r w:rsidR="00893DA7" w:rsidRPr="00987649">
        <w:rPr>
          <w:sz w:val="20"/>
          <w:szCs w:val="20"/>
        </w:rPr>
        <w:t xml:space="preserve">for 12-16 hours per day </w:t>
      </w:r>
      <w:r w:rsidR="00B62AC1" w:rsidRPr="00987649">
        <w:rPr>
          <w:sz w:val="20"/>
          <w:szCs w:val="20"/>
        </w:rPr>
        <w:t xml:space="preserve">is the recommended treatment for ARDS patients by </w:t>
      </w:r>
      <w:r w:rsidR="00B62AC1" w:rsidRPr="00987649">
        <w:rPr>
          <w:sz w:val="20"/>
          <w:szCs w:val="20"/>
          <w:shd w:val="clear" w:color="auto" w:fill="FFFFFF"/>
        </w:rPr>
        <w:t>The Society of Critical Care Medicine, the American Thoracic Society, and the European Society of Intensive Care Medicine</w:t>
      </w:r>
      <w:r w:rsidRPr="00987649">
        <w:rPr>
          <w:sz w:val="20"/>
          <w:szCs w:val="20"/>
        </w:rPr>
        <w:t xml:space="preserve"> </w:t>
      </w:r>
      <w:r w:rsidR="00844C1C">
        <w:rPr>
          <w:color w:val="FF0000"/>
          <w:sz w:val="20"/>
          <w:szCs w:val="20"/>
        </w:rPr>
        <w:t>[16</w:t>
      </w:r>
      <w:r w:rsidR="0081670B">
        <w:rPr>
          <w:color w:val="FF0000"/>
          <w:sz w:val="20"/>
          <w:szCs w:val="20"/>
        </w:rPr>
        <w:t>-18</w:t>
      </w:r>
      <w:r w:rsidR="003B027B">
        <w:rPr>
          <w:color w:val="FF0000"/>
          <w:sz w:val="20"/>
          <w:szCs w:val="20"/>
        </w:rPr>
        <w:t>]</w:t>
      </w:r>
      <w:r w:rsidR="00B62AC1" w:rsidRPr="00987649">
        <w:rPr>
          <w:sz w:val="20"/>
          <w:szCs w:val="20"/>
        </w:rPr>
        <w:t xml:space="preserve">. </w:t>
      </w:r>
      <w:proofErr w:type="spellStart"/>
      <w:r w:rsidR="00B62AC1" w:rsidRPr="006E2075">
        <w:rPr>
          <w:sz w:val="20"/>
          <w:szCs w:val="20"/>
          <w:shd w:val="clear" w:color="auto" w:fill="FFFFFF"/>
        </w:rPr>
        <w:t>Gu</w:t>
      </w:r>
      <w:r w:rsidR="00B62AC1" w:rsidRPr="008C4DF0">
        <w:rPr>
          <w:color w:val="FF0000"/>
          <w:sz w:val="20"/>
          <w:szCs w:val="20"/>
          <w:shd w:val="clear" w:color="auto" w:fill="FFFFFF"/>
        </w:rPr>
        <w:t>é</w:t>
      </w:r>
      <w:r w:rsidR="00B62AC1" w:rsidRPr="006E2075">
        <w:rPr>
          <w:sz w:val="20"/>
          <w:szCs w:val="20"/>
          <w:shd w:val="clear" w:color="auto" w:fill="FFFFFF"/>
        </w:rPr>
        <w:t>rin</w:t>
      </w:r>
      <w:proofErr w:type="spellEnd"/>
      <w:r w:rsidR="00B62AC1" w:rsidRPr="006E2075">
        <w:rPr>
          <w:sz w:val="20"/>
          <w:szCs w:val="20"/>
        </w:rPr>
        <w:t xml:space="preserve"> et.al</w:t>
      </w:r>
      <w:r w:rsidR="008A6ED1" w:rsidRPr="006E2075">
        <w:rPr>
          <w:sz w:val="20"/>
          <w:szCs w:val="20"/>
        </w:rPr>
        <w:t xml:space="preserve">. </w:t>
      </w:r>
      <w:r w:rsidR="008A6ED1">
        <w:rPr>
          <w:color w:val="FF0000"/>
          <w:sz w:val="20"/>
          <w:szCs w:val="20"/>
        </w:rPr>
        <w:t xml:space="preserve">[19] </w:t>
      </w:r>
      <w:proofErr w:type="gramStart"/>
      <w:r w:rsidR="00F53742" w:rsidRPr="00987649">
        <w:rPr>
          <w:sz w:val="20"/>
          <w:szCs w:val="20"/>
        </w:rPr>
        <w:t>demonstrated</w:t>
      </w:r>
      <w:proofErr w:type="gramEnd"/>
      <w:r w:rsidR="00F53742" w:rsidRPr="00987649">
        <w:rPr>
          <w:sz w:val="20"/>
          <w:szCs w:val="20"/>
        </w:rPr>
        <w:t xml:space="preserve"> a reduction in mortality from 33% in a control group of ARDS patients supine only</w:t>
      </w:r>
      <w:r w:rsidR="00397ED6" w:rsidRPr="00987649">
        <w:rPr>
          <w:sz w:val="20"/>
          <w:szCs w:val="20"/>
        </w:rPr>
        <w:t>,</w:t>
      </w:r>
      <w:r w:rsidR="00F53742" w:rsidRPr="00987649">
        <w:rPr>
          <w:sz w:val="20"/>
          <w:szCs w:val="20"/>
        </w:rPr>
        <w:t xml:space="preserve"> compared to </w:t>
      </w:r>
      <w:proofErr w:type="spellStart"/>
      <w:r w:rsidR="00F53742" w:rsidRPr="00987649">
        <w:rPr>
          <w:sz w:val="20"/>
          <w:szCs w:val="20"/>
        </w:rPr>
        <w:t>proning</w:t>
      </w:r>
      <w:proofErr w:type="spellEnd"/>
      <w:r w:rsidR="00F53742" w:rsidRPr="00987649">
        <w:rPr>
          <w:sz w:val="20"/>
          <w:szCs w:val="20"/>
        </w:rPr>
        <w:t xml:space="preserve"> at 16%. However, though </w:t>
      </w:r>
      <w:proofErr w:type="spellStart"/>
      <w:r w:rsidR="00F53742" w:rsidRPr="00987649">
        <w:rPr>
          <w:sz w:val="20"/>
          <w:szCs w:val="20"/>
        </w:rPr>
        <w:t>proning</w:t>
      </w:r>
      <w:proofErr w:type="spellEnd"/>
      <w:r w:rsidR="00F53742" w:rsidRPr="00987649">
        <w:rPr>
          <w:sz w:val="20"/>
          <w:szCs w:val="20"/>
        </w:rPr>
        <w:t xml:space="preserve"> has become evidenced based practice, other serious complications occur.</w:t>
      </w:r>
      <w:r w:rsidR="00B62AC1" w:rsidRPr="00987649">
        <w:rPr>
          <w:sz w:val="20"/>
          <w:szCs w:val="20"/>
        </w:rPr>
        <w:t xml:space="preserve"> </w:t>
      </w:r>
      <w:r w:rsidR="00E863A5" w:rsidRPr="00987649">
        <w:rPr>
          <w:sz w:val="20"/>
          <w:szCs w:val="20"/>
        </w:rPr>
        <w:t xml:space="preserve">Our study showed that 51.83% of patients that were </w:t>
      </w:r>
      <w:proofErr w:type="spellStart"/>
      <w:r w:rsidR="00E863A5" w:rsidRPr="00987649">
        <w:rPr>
          <w:sz w:val="20"/>
          <w:szCs w:val="20"/>
        </w:rPr>
        <w:t>proned</w:t>
      </w:r>
      <w:proofErr w:type="spellEnd"/>
      <w:r w:rsidR="00E863A5" w:rsidRPr="00987649">
        <w:rPr>
          <w:sz w:val="20"/>
          <w:szCs w:val="20"/>
        </w:rPr>
        <w:t xml:space="preserve">, developed HAPI which is consistent with other recent studies </w:t>
      </w:r>
      <w:r w:rsidR="00D90373">
        <w:rPr>
          <w:color w:val="FF0000"/>
          <w:sz w:val="20"/>
          <w:szCs w:val="20"/>
        </w:rPr>
        <w:t>[9</w:t>
      </w:r>
      <w:proofErr w:type="gramStart"/>
      <w:r w:rsidR="0022012C">
        <w:rPr>
          <w:color w:val="FF0000"/>
          <w:sz w:val="20"/>
          <w:szCs w:val="20"/>
        </w:rPr>
        <w:t>,20</w:t>
      </w:r>
      <w:proofErr w:type="gramEnd"/>
      <w:r w:rsidR="00D90373">
        <w:rPr>
          <w:color w:val="FF0000"/>
          <w:sz w:val="20"/>
          <w:szCs w:val="20"/>
        </w:rPr>
        <w:t>]</w:t>
      </w:r>
      <w:r w:rsidR="00E863A5" w:rsidRPr="00987649">
        <w:rPr>
          <w:sz w:val="20"/>
          <w:szCs w:val="20"/>
        </w:rPr>
        <w:t xml:space="preserve">. There was no difference in development of HAPI between the manual and the </w:t>
      </w:r>
      <w:proofErr w:type="spellStart"/>
      <w:r w:rsidR="00E863A5" w:rsidRPr="00987649">
        <w:rPr>
          <w:sz w:val="20"/>
          <w:szCs w:val="20"/>
        </w:rPr>
        <w:t>Rotoprone</w:t>
      </w:r>
      <w:proofErr w:type="spellEnd"/>
      <w:r w:rsidR="00E863A5" w:rsidRPr="006D4894">
        <w:rPr>
          <w:color w:val="FF0000"/>
          <w:sz w:val="20"/>
          <w:szCs w:val="20"/>
          <w:vertAlign w:val="superscript"/>
        </w:rPr>
        <w:t>®</w:t>
      </w:r>
      <w:r w:rsidR="00E863A5" w:rsidRPr="00987649">
        <w:rPr>
          <w:sz w:val="20"/>
          <w:szCs w:val="20"/>
        </w:rPr>
        <w:t xml:space="preserve"> bed method of prone therapy. Only one other study with a smaller sample size (n = 37) showed that manual </w:t>
      </w:r>
      <w:proofErr w:type="spellStart"/>
      <w:r w:rsidR="00E863A5" w:rsidRPr="00987649">
        <w:rPr>
          <w:sz w:val="20"/>
          <w:szCs w:val="20"/>
        </w:rPr>
        <w:t>proning</w:t>
      </w:r>
      <w:proofErr w:type="spellEnd"/>
      <w:r w:rsidR="00E863A5" w:rsidRPr="00987649">
        <w:rPr>
          <w:sz w:val="20"/>
          <w:szCs w:val="20"/>
        </w:rPr>
        <w:t xml:space="preserve"> was associated with less HAPI than with a </w:t>
      </w:r>
      <w:proofErr w:type="spellStart"/>
      <w:r w:rsidR="00E863A5" w:rsidRPr="00987649">
        <w:rPr>
          <w:sz w:val="20"/>
          <w:szCs w:val="20"/>
        </w:rPr>
        <w:t>Rotoprone</w:t>
      </w:r>
      <w:proofErr w:type="spellEnd"/>
      <w:r w:rsidR="00E863A5" w:rsidRPr="006D4894">
        <w:rPr>
          <w:color w:val="FF0000"/>
          <w:sz w:val="20"/>
          <w:szCs w:val="20"/>
          <w:vertAlign w:val="superscript"/>
        </w:rPr>
        <w:t>®</w:t>
      </w:r>
      <w:r w:rsidR="00E863A5" w:rsidRPr="00987649">
        <w:rPr>
          <w:sz w:val="20"/>
          <w:szCs w:val="20"/>
        </w:rPr>
        <w:t xml:space="preserve"> bed (p = .007)</w:t>
      </w:r>
      <w:r w:rsidR="006D4894">
        <w:rPr>
          <w:sz w:val="20"/>
          <w:szCs w:val="20"/>
        </w:rPr>
        <w:t xml:space="preserve"> </w:t>
      </w:r>
      <w:r w:rsidR="00D30625">
        <w:rPr>
          <w:color w:val="FF0000"/>
          <w:sz w:val="20"/>
          <w:szCs w:val="20"/>
        </w:rPr>
        <w:t>[12]</w:t>
      </w:r>
      <w:r w:rsidR="00E863A5" w:rsidRPr="00987649">
        <w:rPr>
          <w:sz w:val="20"/>
          <w:szCs w:val="20"/>
        </w:rPr>
        <w:t xml:space="preserve">. That same study also reported a significant cost savings based on the rental fees for the </w:t>
      </w:r>
      <w:proofErr w:type="spellStart"/>
      <w:r w:rsidR="00E863A5" w:rsidRPr="00987649">
        <w:rPr>
          <w:sz w:val="20"/>
          <w:szCs w:val="20"/>
        </w:rPr>
        <w:t>Rotoprone</w:t>
      </w:r>
      <w:proofErr w:type="spellEnd"/>
      <w:r w:rsidR="00E863A5" w:rsidRPr="006D4894">
        <w:rPr>
          <w:color w:val="FF0000"/>
          <w:sz w:val="20"/>
          <w:szCs w:val="20"/>
          <w:vertAlign w:val="superscript"/>
        </w:rPr>
        <w:t>®</w:t>
      </w:r>
      <w:r w:rsidR="00E863A5" w:rsidRPr="00987649">
        <w:rPr>
          <w:sz w:val="20"/>
          <w:szCs w:val="20"/>
        </w:rPr>
        <w:t xml:space="preserve"> bed. We did not see any other </w:t>
      </w:r>
      <w:r w:rsidR="00E863A5" w:rsidRPr="00987649">
        <w:rPr>
          <w:sz w:val="20"/>
          <w:szCs w:val="20"/>
        </w:rPr>
        <w:lastRenderedPageBreak/>
        <w:t xml:space="preserve">significant difference in outcomes using either method of </w:t>
      </w:r>
      <w:proofErr w:type="spellStart"/>
      <w:r w:rsidR="00E863A5" w:rsidRPr="00987649">
        <w:rPr>
          <w:sz w:val="20"/>
          <w:szCs w:val="20"/>
        </w:rPr>
        <w:t>proning</w:t>
      </w:r>
      <w:proofErr w:type="spellEnd"/>
      <w:r w:rsidR="00E863A5" w:rsidRPr="00987649">
        <w:rPr>
          <w:sz w:val="20"/>
          <w:szCs w:val="20"/>
        </w:rPr>
        <w:t xml:space="preserve">, length of stay, oxygenation, or discharge </w:t>
      </w:r>
      <w:r w:rsidR="001750D2">
        <w:rPr>
          <w:sz w:val="20"/>
          <w:szCs w:val="20"/>
        </w:rPr>
        <w:t>outcome.</w:t>
      </w:r>
    </w:p>
    <w:p w:rsidR="001750D2" w:rsidRDefault="001750D2" w:rsidP="008450B0">
      <w:pPr>
        <w:contextualSpacing/>
        <w:mirrorIndents/>
        <w:jc w:val="both"/>
        <w:rPr>
          <w:sz w:val="20"/>
          <w:szCs w:val="20"/>
        </w:rPr>
      </w:pPr>
    </w:p>
    <w:p w:rsidR="00E863A5" w:rsidRDefault="00E863A5" w:rsidP="008450B0">
      <w:pPr>
        <w:contextualSpacing/>
        <w:mirrorIndents/>
        <w:jc w:val="both"/>
        <w:rPr>
          <w:sz w:val="20"/>
          <w:szCs w:val="20"/>
        </w:rPr>
      </w:pPr>
      <w:r w:rsidRPr="00987649">
        <w:rPr>
          <w:sz w:val="20"/>
          <w:szCs w:val="20"/>
        </w:rPr>
        <w:t xml:space="preserve">Our findings could equip hospitals with the ability to use manual positioning and focus on prevention of HAPI using alternative products with the potential cost savings incurred from rental fees. With supply chain shortages impacting rental beds, manual </w:t>
      </w:r>
      <w:proofErr w:type="spellStart"/>
      <w:r w:rsidRPr="00987649">
        <w:rPr>
          <w:sz w:val="20"/>
          <w:szCs w:val="20"/>
        </w:rPr>
        <w:t>proning</w:t>
      </w:r>
      <w:proofErr w:type="spellEnd"/>
      <w:r w:rsidRPr="00987649">
        <w:rPr>
          <w:sz w:val="20"/>
          <w:szCs w:val="20"/>
        </w:rPr>
        <w:t xml:space="preserve"> may be the only option however, it requires coordination of staff to turn and reposition patients into swimmers position and put into place preventative devices for HAPI.</w:t>
      </w:r>
      <w:r w:rsidR="000515C6" w:rsidRPr="00987649">
        <w:rPr>
          <w:sz w:val="20"/>
          <w:szCs w:val="20"/>
        </w:rPr>
        <w:t xml:space="preserve"> Several staff are needed for this procedure to safely prone these patients and prevent complications such as accidental </w:t>
      </w:r>
      <w:proofErr w:type="spellStart"/>
      <w:r w:rsidR="000515C6" w:rsidRPr="00987649">
        <w:rPr>
          <w:sz w:val="20"/>
          <w:szCs w:val="20"/>
        </w:rPr>
        <w:t>extubation</w:t>
      </w:r>
      <w:proofErr w:type="spellEnd"/>
      <w:r w:rsidR="000515C6" w:rsidRPr="00987649">
        <w:rPr>
          <w:sz w:val="20"/>
          <w:szCs w:val="20"/>
        </w:rPr>
        <w:t xml:space="preserve"> and during the pandemic, </w:t>
      </w:r>
      <w:r w:rsidR="00107DAE" w:rsidRPr="00987649">
        <w:rPr>
          <w:sz w:val="20"/>
          <w:szCs w:val="20"/>
        </w:rPr>
        <w:t xml:space="preserve">multiple patients requiring manual </w:t>
      </w:r>
      <w:proofErr w:type="spellStart"/>
      <w:r w:rsidR="00107DAE" w:rsidRPr="00987649">
        <w:rPr>
          <w:sz w:val="20"/>
          <w:szCs w:val="20"/>
        </w:rPr>
        <w:t>proning</w:t>
      </w:r>
      <w:proofErr w:type="spellEnd"/>
      <w:r w:rsidR="00107DAE" w:rsidRPr="00987649">
        <w:rPr>
          <w:sz w:val="20"/>
          <w:szCs w:val="20"/>
        </w:rPr>
        <w:t xml:space="preserve"> was not uncommon</w:t>
      </w:r>
      <w:r w:rsidR="000515C6" w:rsidRPr="00987649">
        <w:rPr>
          <w:sz w:val="20"/>
          <w:szCs w:val="20"/>
        </w:rPr>
        <w:t>.</w:t>
      </w:r>
      <w:r w:rsidR="00AE6041">
        <w:rPr>
          <w:sz w:val="20"/>
          <w:szCs w:val="20"/>
        </w:rPr>
        <w:t xml:space="preserve"> </w:t>
      </w:r>
      <w:r w:rsidR="00D11806" w:rsidRPr="003235B7">
        <w:rPr>
          <w:sz w:val="20"/>
          <w:szCs w:val="20"/>
        </w:rPr>
        <w:t xml:space="preserve">Cotton, </w:t>
      </w:r>
      <w:r w:rsidR="00107DAE" w:rsidRPr="003235B7">
        <w:rPr>
          <w:sz w:val="20"/>
          <w:szCs w:val="20"/>
        </w:rPr>
        <w:t xml:space="preserve">et.al. </w:t>
      </w:r>
      <w:r w:rsidR="00D11806">
        <w:rPr>
          <w:color w:val="FF0000"/>
          <w:sz w:val="20"/>
          <w:szCs w:val="20"/>
        </w:rPr>
        <w:t>[21]</w:t>
      </w:r>
      <w:r w:rsidR="00107DAE" w:rsidRPr="00987649">
        <w:rPr>
          <w:sz w:val="20"/>
          <w:szCs w:val="20"/>
        </w:rPr>
        <w:t xml:space="preserve"> </w:t>
      </w:r>
      <w:proofErr w:type="gramStart"/>
      <w:r w:rsidR="00107DAE" w:rsidRPr="00987649">
        <w:rPr>
          <w:sz w:val="20"/>
          <w:szCs w:val="20"/>
        </w:rPr>
        <w:t>found</w:t>
      </w:r>
      <w:proofErr w:type="gramEnd"/>
      <w:r w:rsidR="00107DAE" w:rsidRPr="00987649">
        <w:rPr>
          <w:sz w:val="20"/>
          <w:szCs w:val="20"/>
        </w:rPr>
        <w:t xml:space="preserve"> </w:t>
      </w:r>
      <w:r w:rsidR="00AA3C92" w:rsidRPr="00987649">
        <w:rPr>
          <w:sz w:val="20"/>
          <w:szCs w:val="20"/>
        </w:rPr>
        <w:t xml:space="preserve">that </w:t>
      </w:r>
      <w:r w:rsidR="00107DAE" w:rsidRPr="00987649">
        <w:rPr>
          <w:sz w:val="20"/>
          <w:szCs w:val="20"/>
        </w:rPr>
        <w:t xml:space="preserve">one strategy to help </w:t>
      </w:r>
      <w:r w:rsidR="00C45225" w:rsidRPr="00987649">
        <w:rPr>
          <w:sz w:val="20"/>
          <w:szCs w:val="20"/>
        </w:rPr>
        <w:t xml:space="preserve">when manual </w:t>
      </w:r>
      <w:proofErr w:type="spellStart"/>
      <w:r w:rsidR="00C45225" w:rsidRPr="00987649">
        <w:rPr>
          <w:sz w:val="20"/>
          <w:szCs w:val="20"/>
        </w:rPr>
        <w:t>proning</w:t>
      </w:r>
      <w:proofErr w:type="spellEnd"/>
      <w:r w:rsidR="00C45225" w:rsidRPr="00987649">
        <w:rPr>
          <w:sz w:val="20"/>
          <w:szCs w:val="20"/>
        </w:rPr>
        <w:t xml:space="preserve"> was </w:t>
      </w:r>
      <w:r w:rsidR="00107DAE" w:rsidRPr="00987649">
        <w:rPr>
          <w:sz w:val="20"/>
          <w:szCs w:val="20"/>
        </w:rPr>
        <w:t>to ha</w:t>
      </w:r>
      <w:r w:rsidR="001D5610" w:rsidRPr="00987649">
        <w:rPr>
          <w:sz w:val="20"/>
          <w:szCs w:val="20"/>
        </w:rPr>
        <w:t xml:space="preserve">ve dedicated personnel to </w:t>
      </w:r>
      <w:r w:rsidR="00397ED6" w:rsidRPr="00987649">
        <w:rPr>
          <w:sz w:val="20"/>
          <w:szCs w:val="20"/>
        </w:rPr>
        <w:t>for</w:t>
      </w:r>
      <w:r w:rsidR="00107DAE" w:rsidRPr="00987649">
        <w:rPr>
          <w:sz w:val="20"/>
          <w:szCs w:val="20"/>
        </w:rPr>
        <w:t xml:space="preserve"> a </w:t>
      </w:r>
      <w:proofErr w:type="spellStart"/>
      <w:r w:rsidR="00107DAE" w:rsidRPr="00987649">
        <w:rPr>
          <w:sz w:val="20"/>
          <w:szCs w:val="20"/>
        </w:rPr>
        <w:t>proning</w:t>
      </w:r>
      <w:proofErr w:type="spellEnd"/>
      <w:r w:rsidR="00107DAE" w:rsidRPr="00987649">
        <w:rPr>
          <w:sz w:val="20"/>
          <w:szCs w:val="20"/>
        </w:rPr>
        <w:t xml:space="preserve"> team, alleviating the</w:t>
      </w:r>
      <w:r w:rsidR="00397ED6" w:rsidRPr="00987649">
        <w:rPr>
          <w:sz w:val="20"/>
          <w:szCs w:val="20"/>
        </w:rPr>
        <w:t xml:space="preserve"> burden on the primary nurse,</w:t>
      </w:r>
      <w:r w:rsidR="00107DAE" w:rsidRPr="00987649">
        <w:rPr>
          <w:sz w:val="20"/>
          <w:szCs w:val="20"/>
        </w:rPr>
        <w:t xml:space="preserve"> decreasing complications </w:t>
      </w:r>
      <w:r w:rsidR="00C45225" w:rsidRPr="00987649">
        <w:rPr>
          <w:sz w:val="20"/>
          <w:szCs w:val="20"/>
        </w:rPr>
        <w:t xml:space="preserve">to the patient </w:t>
      </w:r>
      <w:r w:rsidR="00107DAE" w:rsidRPr="00987649">
        <w:rPr>
          <w:sz w:val="20"/>
          <w:szCs w:val="20"/>
        </w:rPr>
        <w:t>from the procedure itself</w:t>
      </w:r>
      <w:r w:rsidR="00C45225" w:rsidRPr="00987649">
        <w:rPr>
          <w:sz w:val="20"/>
          <w:szCs w:val="20"/>
        </w:rPr>
        <w:t xml:space="preserve"> and injuries to the healthcare team</w:t>
      </w:r>
      <w:r w:rsidR="00107DAE" w:rsidRPr="00987649">
        <w:rPr>
          <w:sz w:val="20"/>
          <w:szCs w:val="20"/>
        </w:rPr>
        <w:t>.</w:t>
      </w:r>
      <w:r w:rsidR="00AE6041">
        <w:rPr>
          <w:sz w:val="20"/>
          <w:szCs w:val="20"/>
        </w:rPr>
        <w:t xml:space="preserve"> </w:t>
      </w:r>
    </w:p>
    <w:p w:rsidR="00E9527E" w:rsidRPr="00987649" w:rsidRDefault="00E9527E" w:rsidP="008450B0">
      <w:pPr>
        <w:contextualSpacing/>
        <w:mirrorIndents/>
        <w:jc w:val="both"/>
        <w:rPr>
          <w:sz w:val="20"/>
          <w:szCs w:val="20"/>
        </w:rPr>
      </w:pPr>
    </w:p>
    <w:p w:rsidR="00DB5816" w:rsidRDefault="00E863A5" w:rsidP="008450B0">
      <w:pPr>
        <w:contextualSpacing/>
        <w:mirrorIndents/>
        <w:jc w:val="both"/>
        <w:rPr>
          <w:sz w:val="20"/>
          <w:szCs w:val="20"/>
        </w:rPr>
      </w:pPr>
      <w:r w:rsidRPr="00987649">
        <w:rPr>
          <w:sz w:val="20"/>
          <w:szCs w:val="20"/>
        </w:rPr>
        <w:t xml:space="preserve">Regardless of the method of </w:t>
      </w:r>
      <w:proofErr w:type="spellStart"/>
      <w:r w:rsidRPr="00987649">
        <w:rPr>
          <w:sz w:val="20"/>
          <w:szCs w:val="20"/>
        </w:rPr>
        <w:t>proning</w:t>
      </w:r>
      <w:proofErr w:type="spellEnd"/>
      <w:r w:rsidRPr="00987649">
        <w:rPr>
          <w:sz w:val="20"/>
          <w:szCs w:val="20"/>
        </w:rPr>
        <w:t>, our study showed a significant amount of facial pressure injuries.</w:t>
      </w:r>
      <w:r w:rsidR="00AE6041">
        <w:rPr>
          <w:sz w:val="20"/>
          <w:szCs w:val="20"/>
        </w:rPr>
        <w:t xml:space="preserve"> </w:t>
      </w:r>
      <w:r w:rsidRPr="00987649">
        <w:rPr>
          <w:sz w:val="20"/>
          <w:szCs w:val="20"/>
        </w:rPr>
        <w:t xml:space="preserve">Patients developed DTPI most commonly, and device-related injuries were common causing skin breakdown in areas such as the nares and ears. There have recently been studies that have looked at methods of decreasing these types of injuries using prophylactic silicone foam dressings </w:t>
      </w:r>
      <w:r w:rsidR="00D744FD">
        <w:rPr>
          <w:color w:val="FF0000"/>
          <w:sz w:val="20"/>
          <w:szCs w:val="20"/>
        </w:rPr>
        <w:t>[13</w:t>
      </w:r>
      <w:proofErr w:type="gramStart"/>
      <w:r w:rsidR="00A5069B">
        <w:rPr>
          <w:color w:val="FF0000"/>
          <w:sz w:val="20"/>
          <w:szCs w:val="20"/>
        </w:rPr>
        <w:t>,22</w:t>
      </w:r>
      <w:proofErr w:type="gramEnd"/>
      <w:r w:rsidR="00D744FD">
        <w:rPr>
          <w:color w:val="FF0000"/>
          <w:sz w:val="20"/>
          <w:szCs w:val="20"/>
        </w:rPr>
        <w:t>]</w:t>
      </w:r>
      <w:r w:rsidR="00DB5816">
        <w:rPr>
          <w:sz w:val="20"/>
          <w:szCs w:val="20"/>
        </w:rPr>
        <w:t>.</w:t>
      </w:r>
    </w:p>
    <w:p w:rsidR="00DB5816" w:rsidRPr="00987649" w:rsidRDefault="00DB5816" w:rsidP="008450B0">
      <w:pPr>
        <w:contextualSpacing/>
        <w:mirrorIndents/>
        <w:jc w:val="both"/>
        <w:rPr>
          <w:sz w:val="20"/>
          <w:szCs w:val="20"/>
        </w:rPr>
      </w:pPr>
    </w:p>
    <w:p w:rsidR="00E863A5" w:rsidRDefault="00E863A5" w:rsidP="008450B0">
      <w:pPr>
        <w:contextualSpacing/>
        <w:mirrorIndents/>
        <w:jc w:val="both"/>
        <w:rPr>
          <w:sz w:val="20"/>
          <w:szCs w:val="20"/>
        </w:rPr>
      </w:pPr>
      <w:r w:rsidRPr="00987649">
        <w:rPr>
          <w:sz w:val="20"/>
          <w:szCs w:val="20"/>
        </w:rPr>
        <w:t xml:space="preserve">Although our hospital utilized evidence based practices for prevention of HAPI, we still saw high rates of HAPI. It is known that there may be factors that may not be modifiable in patients that are critically ill. These critically ill patients are at higher risk for skin breakdown when they are on hemodialysis, have hypotension, or experience shock states requiring vasopressors </w:t>
      </w:r>
      <w:r w:rsidR="00890878">
        <w:rPr>
          <w:color w:val="FF0000"/>
          <w:sz w:val="20"/>
          <w:szCs w:val="20"/>
        </w:rPr>
        <w:t>[23]</w:t>
      </w:r>
      <w:r w:rsidRPr="00987649">
        <w:rPr>
          <w:sz w:val="20"/>
          <w:szCs w:val="20"/>
        </w:rPr>
        <w:t xml:space="preserve">. Further, pathophysiological factors also predictive of HAPI development such as impaired tissue oxygenation and perfusion are common in COVID-19 patients </w:t>
      </w:r>
      <w:r w:rsidRPr="0051438A">
        <w:rPr>
          <w:color w:val="FF0000"/>
          <w:sz w:val="20"/>
          <w:szCs w:val="20"/>
        </w:rPr>
        <w:fldChar w:fldCharType="begin">
          <w:fldData xml:space="preserve">PEVuZE5vdGU+PENpdGU+PEF1dGhvcj5QZWtvPC9BdXRob3I+PFllYXI+MjAyMDwvWWVhcj48UmVj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</w:fldData>
        </w:fldChar>
      </w:r>
      <w:r w:rsidRPr="0051438A">
        <w:rPr>
          <w:color w:val="FF0000"/>
          <w:sz w:val="20"/>
          <w:szCs w:val="20"/>
        </w:rPr>
        <w:instrText xml:space="preserve"> ADDIN EN.CITE </w:instrText>
      </w:r>
      <w:r w:rsidRPr="0051438A">
        <w:rPr>
          <w:color w:val="FF0000"/>
          <w:sz w:val="20"/>
          <w:szCs w:val="20"/>
        </w:rPr>
        <w:fldChar w:fldCharType="begin">
          <w:fldData xml:space="preserve">PEVuZE5vdGU+PENpdGU+PEF1dGhvcj5QZWtvPC9BdXRob3I+PFllYXI+MjAyMDwvWWVhcj48UmVj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</w:fldData>
        </w:fldChar>
      </w:r>
      <w:r w:rsidRPr="0051438A">
        <w:rPr>
          <w:color w:val="FF0000"/>
          <w:sz w:val="20"/>
          <w:szCs w:val="20"/>
        </w:rPr>
        <w:instrText xml:space="preserve"> ADDIN EN.CITE.DATA </w:instrText>
      </w:r>
      <w:r w:rsidRPr="0051438A">
        <w:rPr>
          <w:color w:val="FF0000"/>
          <w:sz w:val="20"/>
          <w:szCs w:val="20"/>
        </w:rPr>
      </w:r>
      <w:r w:rsidRPr="0051438A">
        <w:rPr>
          <w:color w:val="FF0000"/>
          <w:sz w:val="20"/>
          <w:szCs w:val="20"/>
        </w:rPr>
        <w:fldChar w:fldCharType="end"/>
      </w:r>
      <w:r w:rsidRPr="0051438A">
        <w:rPr>
          <w:color w:val="FF0000"/>
          <w:sz w:val="20"/>
          <w:szCs w:val="20"/>
        </w:rPr>
      </w:r>
      <w:r w:rsidRPr="0051438A">
        <w:rPr>
          <w:color w:val="FF0000"/>
          <w:sz w:val="20"/>
          <w:szCs w:val="20"/>
        </w:rPr>
        <w:fldChar w:fldCharType="end"/>
      </w:r>
      <w:r w:rsidR="00E22F76">
        <w:rPr>
          <w:color w:val="FF0000"/>
          <w:sz w:val="20"/>
          <w:szCs w:val="20"/>
        </w:rPr>
        <w:t>[22</w:t>
      </w:r>
      <w:proofErr w:type="gramStart"/>
      <w:r w:rsidR="003E28C0">
        <w:rPr>
          <w:color w:val="FF0000"/>
          <w:sz w:val="20"/>
          <w:szCs w:val="20"/>
        </w:rPr>
        <w:t>,24</w:t>
      </w:r>
      <w:proofErr w:type="gramEnd"/>
      <w:r w:rsidR="00E22F76">
        <w:rPr>
          <w:color w:val="FF0000"/>
          <w:sz w:val="20"/>
          <w:szCs w:val="20"/>
        </w:rPr>
        <w:t>]</w:t>
      </w:r>
      <w:r w:rsidRPr="00987649">
        <w:rPr>
          <w:sz w:val="20"/>
          <w:szCs w:val="20"/>
        </w:rPr>
        <w:t xml:space="preserve">. Yet, while a higher percentage of patients in our study that developed HAPI had the diagnosis of COVID-19, the latter was not significantly associated with HAPI development. Similar to other studies, </w:t>
      </w:r>
      <w:r w:rsidR="008627B7">
        <w:rPr>
          <w:color w:val="FF0000"/>
          <w:sz w:val="20"/>
          <w:szCs w:val="20"/>
        </w:rPr>
        <w:t>[25</w:t>
      </w:r>
      <w:proofErr w:type="gramStart"/>
      <w:r w:rsidR="005950F2">
        <w:rPr>
          <w:color w:val="FF0000"/>
          <w:sz w:val="20"/>
          <w:szCs w:val="20"/>
        </w:rPr>
        <w:t>,26</w:t>
      </w:r>
      <w:proofErr w:type="gramEnd"/>
      <w:r w:rsidR="008627B7">
        <w:rPr>
          <w:color w:val="FF0000"/>
          <w:sz w:val="20"/>
          <w:szCs w:val="20"/>
        </w:rPr>
        <w:t>]</w:t>
      </w:r>
      <w:r w:rsidRPr="00987649">
        <w:rPr>
          <w:sz w:val="20"/>
          <w:szCs w:val="20"/>
        </w:rPr>
        <w:t>, our study also did not show that BMI was associated with developme</w:t>
      </w:r>
      <w:r w:rsidR="00E9527E">
        <w:rPr>
          <w:sz w:val="20"/>
          <w:szCs w:val="20"/>
        </w:rPr>
        <w:t>nt of HAPI.</w:t>
      </w:r>
    </w:p>
    <w:p w:rsidR="00E9527E" w:rsidRPr="00987649" w:rsidRDefault="00E9527E" w:rsidP="008450B0">
      <w:pPr>
        <w:contextualSpacing/>
        <w:mirrorIndents/>
        <w:jc w:val="both"/>
        <w:rPr>
          <w:sz w:val="20"/>
          <w:szCs w:val="20"/>
        </w:rPr>
      </w:pPr>
    </w:p>
    <w:p w:rsidR="00E863A5" w:rsidRPr="00987649" w:rsidRDefault="00E863A5" w:rsidP="008450B0">
      <w:pPr>
        <w:contextualSpacing/>
        <w:mirrorIndents/>
        <w:jc w:val="both"/>
        <w:rPr>
          <w:sz w:val="20"/>
          <w:szCs w:val="20"/>
        </w:rPr>
      </w:pPr>
      <w:r w:rsidRPr="00987649">
        <w:rPr>
          <w:sz w:val="20"/>
          <w:szCs w:val="20"/>
        </w:rPr>
        <w:t xml:space="preserve">We found that there was a significant association between the method of prone therapy and mortality with 80.19% of the patients with manual prone that died compared to 58.18% of the patients with the </w:t>
      </w:r>
      <w:proofErr w:type="spellStart"/>
      <w:r w:rsidRPr="00987649">
        <w:rPr>
          <w:sz w:val="20"/>
          <w:szCs w:val="20"/>
        </w:rPr>
        <w:t>Rotoprone</w:t>
      </w:r>
      <w:proofErr w:type="spellEnd"/>
      <w:r w:rsidRPr="00E9527E">
        <w:rPr>
          <w:color w:val="FF0000"/>
          <w:sz w:val="20"/>
          <w:szCs w:val="20"/>
          <w:vertAlign w:val="superscript"/>
        </w:rPr>
        <w:t>®</w:t>
      </w:r>
      <w:r w:rsidRPr="00987649">
        <w:rPr>
          <w:sz w:val="20"/>
          <w:szCs w:val="20"/>
          <w:vertAlign w:val="superscript"/>
        </w:rPr>
        <w:t xml:space="preserve"> </w:t>
      </w:r>
      <w:r w:rsidRPr="00987649">
        <w:rPr>
          <w:sz w:val="20"/>
          <w:szCs w:val="20"/>
        </w:rPr>
        <w:t xml:space="preserve">bed method. We observed that patients with the manual prone method had a significantly higher risk for mortality than those with </w:t>
      </w:r>
      <w:proofErr w:type="spellStart"/>
      <w:r w:rsidRPr="00987649">
        <w:rPr>
          <w:sz w:val="20"/>
          <w:szCs w:val="20"/>
        </w:rPr>
        <w:t>Rotoprone</w:t>
      </w:r>
      <w:proofErr w:type="spellEnd"/>
      <w:r w:rsidRPr="00E9527E">
        <w:rPr>
          <w:color w:val="FF0000"/>
          <w:sz w:val="20"/>
          <w:szCs w:val="20"/>
          <w:vertAlign w:val="superscript"/>
        </w:rPr>
        <w:t>®</w:t>
      </w:r>
      <w:r w:rsidRPr="00987649">
        <w:rPr>
          <w:sz w:val="20"/>
          <w:szCs w:val="20"/>
        </w:rPr>
        <w:t xml:space="preserve"> bed, and all the patients that were manually </w:t>
      </w:r>
      <w:proofErr w:type="spellStart"/>
      <w:r w:rsidRPr="00987649">
        <w:rPr>
          <w:sz w:val="20"/>
          <w:szCs w:val="20"/>
        </w:rPr>
        <w:t>proned</w:t>
      </w:r>
      <w:proofErr w:type="spellEnd"/>
      <w:r w:rsidRPr="00987649">
        <w:rPr>
          <w:sz w:val="20"/>
          <w:szCs w:val="20"/>
        </w:rPr>
        <w:t xml:space="preserve"> had the COVID diagnosis. The COVID infection and its complications may have contributed to the increased mortality observed in these patients.</w:t>
      </w:r>
      <w:r w:rsidR="00AE6041">
        <w:rPr>
          <w:sz w:val="20"/>
          <w:szCs w:val="20"/>
        </w:rPr>
        <w:t xml:space="preserve"> </w:t>
      </w:r>
      <w:r w:rsidRPr="00987649">
        <w:rPr>
          <w:sz w:val="20"/>
          <w:szCs w:val="20"/>
        </w:rPr>
        <w:t xml:space="preserve">This could be explained by the fact that some of the time period of the study was pre-pandemic when patients were </w:t>
      </w:r>
      <w:proofErr w:type="spellStart"/>
      <w:r w:rsidRPr="00987649">
        <w:rPr>
          <w:sz w:val="20"/>
          <w:szCs w:val="20"/>
        </w:rPr>
        <w:t>proned</w:t>
      </w:r>
      <w:proofErr w:type="spellEnd"/>
      <w:r w:rsidRPr="00987649">
        <w:rPr>
          <w:sz w:val="20"/>
          <w:szCs w:val="20"/>
        </w:rPr>
        <w:t xml:space="preserve"> using the </w:t>
      </w:r>
      <w:proofErr w:type="spellStart"/>
      <w:r w:rsidRPr="00987649">
        <w:rPr>
          <w:sz w:val="20"/>
          <w:szCs w:val="20"/>
        </w:rPr>
        <w:t>Rotoprone</w:t>
      </w:r>
      <w:proofErr w:type="spellEnd"/>
      <w:r w:rsidRPr="00E9527E">
        <w:rPr>
          <w:color w:val="FF0000"/>
          <w:sz w:val="20"/>
          <w:szCs w:val="20"/>
          <w:vertAlign w:val="superscript"/>
        </w:rPr>
        <w:t>®</w:t>
      </w:r>
      <w:r w:rsidRPr="00987649">
        <w:rPr>
          <w:sz w:val="20"/>
          <w:szCs w:val="20"/>
        </w:rPr>
        <w:t xml:space="preserve"> bed. With the surge in </w:t>
      </w:r>
      <w:r w:rsidR="008E60B1" w:rsidRPr="00987649">
        <w:rPr>
          <w:sz w:val="20"/>
          <w:szCs w:val="20"/>
        </w:rPr>
        <w:t xml:space="preserve">ARDS </w:t>
      </w:r>
      <w:r w:rsidRPr="00987649">
        <w:rPr>
          <w:sz w:val="20"/>
          <w:szCs w:val="20"/>
        </w:rPr>
        <w:t>cases</w:t>
      </w:r>
      <w:r w:rsidR="008E60B1" w:rsidRPr="00987649">
        <w:rPr>
          <w:sz w:val="20"/>
          <w:szCs w:val="20"/>
        </w:rPr>
        <w:t xml:space="preserve"> due to </w:t>
      </w:r>
      <w:r w:rsidR="00C45225" w:rsidRPr="00987649">
        <w:rPr>
          <w:sz w:val="20"/>
          <w:szCs w:val="20"/>
        </w:rPr>
        <w:t xml:space="preserve">the </w:t>
      </w:r>
      <w:r w:rsidR="008E60B1" w:rsidRPr="00987649">
        <w:rPr>
          <w:sz w:val="20"/>
          <w:szCs w:val="20"/>
        </w:rPr>
        <w:t>pandemic</w:t>
      </w:r>
      <w:r w:rsidRPr="00987649">
        <w:rPr>
          <w:sz w:val="20"/>
          <w:szCs w:val="20"/>
        </w:rPr>
        <w:t xml:space="preserve">, the availability of the </w:t>
      </w:r>
      <w:proofErr w:type="spellStart"/>
      <w:r w:rsidRPr="00987649">
        <w:rPr>
          <w:sz w:val="20"/>
          <w:szCs w:val="20"/>
        </w:rPr>
        <w:t>Rotoprone</w:t>
      </w:r>
      <w:proofErr w:type="spellEnd"/>
      <w:r w:rsidRPr="00E9527E">
        <w:rPr>
          <w:color w:val="FF0000"/>
          <w:sz w:val="20"/>
          <w:szCs w:val="20"/>
          <w:vertAlign w:val="superscript"/>
        </w:rPr>
        <w:t>®</w:t>
      </w:r>
      <w:r w:rsidRPr="00987649">
        <w:rPr>
          <w:sz w:val="20"/>
          <w:szCs w:val="20"/>
        </w:rPr>
        <w:t xml:space="preserve"> bed decreased and patients were </w:t>
      </w:r>
      <w:r w:rsidR="00C45225" w:rsidRPr="00987649">
        <w:rPr>
          <w:sz w:val="20"/>
          <w:szCs w:val="20"/>
        </w:rPr>
        <w:t xml:space="preserve">then </w:t>
      </w:r>
      <w:proofErr w:type="spellStart"/>
      <w:r w:rsidRPr="00987649">
        <w:rPr>
          <w:sz w:val="20"/>
          <w:szCs w:val="20"/>
        </w:rPr>
        <w:t>proned</w:t>
      </w:r>
      <w:proofErr w:type="spellEnd"/>
      <w:r w:rsidRPr="00987649">
        <w:rPr>
          <w:sz w:val="20"/>
          <w:szCs w:val="20"/>
        </w:rPr>
        <w:t xml:space="preserve"> manually</w:t>
      </w:r>
      <w:r w:rsidR="008E60B1" w:rsidRPr="00987649">
        <w:rPr>
          <w:sz w:val="20"/>
          <w:szCs w:val="20"/>
        </w:rPr>
        <w:t xml:space="preserve"> in order to continue standard of care therapy</w:t>
      </w:r>
      <w:r w:rsidRPr="00987649">
        <w:rPr>
          <w:sz w:val="20"/>
          <w:szCs w:val="20"/>
        </w:rPr>
        <w:t xml:space="preserve">. </w:t>
      </w:r>
    </w:p>
    <w:p w:rsidR="00E9527E" w:rsidRDefault="00E863A5" w:rsidP="008450B0">
      <w:pPr>
        <w:contextualSpacing/>
        <w:mirrorIndents/>
        <w:jc w:val="both"/>
        <w:rPr>
          <w:sz w:val="20"/>
          <w:szCs w:val="20"/>
        </w:rPr>
      </w:pPr>
      <w:r w:rsidRPr="00987649">
        <w:rPr>
          <w:sz w:val="20"/>
          <w:szCs w:val="20"/>
        </w:rPr>
        <w:t>Overall, this study underscores the importance of wound prevention and early detection and management during prone therapy regardless of the method.</w:t>
      </w:r>
      <w:r w:rsidR="00AE6041">
        <w:rPr>
          <w:sz w:val="20"/>
          <w:szCs w:val="20"/>
        </w:rPr>
        <w:t xml:space="preserve"> </w:t>
      </w:r>
      <w:r w:rsidRPr="00987649">
        <w:rPr>
          <w:sz w:val="20"/>
          <w:szCs w:val="20"/>
        </w:rPr>
        <w:t>Patients are highly susceptible to these wounds when undergoing either ma</w:t>
      </w:r>
      <w:r w:rsidR="00E9527E">
        <w:rPr>
          <w:sz w:val="20"/>
          <w:szCs w:val="20"/>
        </w:rPr>
        <w:t xml:space="preserve">nual or specialty bed </w:t>
      </w:r>
      <w:proofErr w:type="spellStart"/>
      <w:r w:rsidR="00E9527E">
        <w:rPr>
          <w:sz w:val="20"/>
          <w:szCs w:val="20"/>
        </w:rPr>
        <w:t>proning</w:t>
      </w:r>
      <w:proofErr w:type="spellEnd"/>
      <w:r w:rsidR="00E9527E">
        <w:rPr>
          <w:sz w:val="20"/>
          <w:szCs w:val="20"/>
        </w:rPr>
        <w:t xml:space="preserve">. </w:t>
      </w:r>
      <w:r w:rsidRPr="00987649">
        <w:rPr>
          <w:sz w:val="20"/>
          <w:szCs w:val="20"/>
        </w:rPr>
        <w:t>Consistent, regular wound checks are high yielding in these patients.</w:t>
      </w:r>
      <w:r w:rsidR="00AE6041">
        <w:rPr>
          <w:sz w:val="20"/>
          <w:szCs w:val="20"/>
        </w:rPr>
        <w:t xml:space="preserve"> </w:t>
      </w:r>
      <w:r w:rsidRPr="00987649">
        <w:rPr>
          <w:sz w:val="20"/>
          <w:szCs w:val="20"/>
        </w:rPr>
        <w:t>Repositioning frequently can also help with decreasing the incidence of DTPIs.</w:t>
      </w:r>
      <w:r w:rsidR="00AE6041">
        <w:rPr>
          <w:sz w:val="20"/>
          <w:szCs w:val="20"/>
        </w:rPr>
        <w:t xml:space="preserve"> </w:t>
      </w:r>
      <w:r w:rsidRPr="00987649">
        <w:rPr>
          <w:sz w:val="20"/>
          <w:szCs w:val="20"/>
        </w:rPr>
        <w:t xml:space="preserve">Utilizing devices such as air fluidized pillows and silicone foam dressings, may be beneficial in prevention </w:t>
      </w:r>
      <w:r w:rsidR="00DB5816">
        <w:rPr>
          <w:color w:val="FF0000"/>
          <w:sz w:val="20"/>
          <w:szCs w:val="20"/>
        </w:rPr>
        <w:t>[13</w:t>
      </w:r>
      <w:proofErr w:type="gramStart"/>
      <w:r w:rsidR="00A02313">
        <w:rPr>
          <w:color w:val="FF0000"/>
          <w:sz w:val="20"/>
          <w:szCs w:val="20"/>
        </w:rPr>
        <w:t>,27</w:t>
      </w:r>
      <w:proofErr w:type="gramEnd"/>
      <w:r w:rsidR="00DB5816">
        <w:rPr>
          <w:color w:val="FF0000"/>
          <w:sz w:val="20"/>
          <w:szCs w:val="20"/>
        </w:rPr>
        <w:t>]</w:t>
      </w:r>
      <w:r w:rsidRPr="00987649">
        <w:rPr>
          <w:sz w:val="20"/>
          <w:szCs w:val="20"/>
        </w:rPr>
        <w:t xml:space="preserve">. Adherence to evidence-based preventative actions can be a challenge to nurses when working under crisis conditions with increased workload during the pandemic surge. Using creative staffing models to support staff at the bedside could mitigate this strain on staffing </w:t>
      </w:r>
      <w:r w:rsidR="00FE6AC7">
        <w:rPr>
          <w:color w:val="FF0000"/>
          <w:sz w:val="20"/>
          <w:szCs w:val="20"/>
        </w:rPr>
        <w:t>[21</w:t>
      </w:r>
      <w:proofErr w:type="gramStart"/>
      <w:r w:rsidR="00FE6AC7">
        <w:rPr>
          <w:color w:val="FF0000"/>
          <w:sz w:val="20"/>
          <w:szCs w:val="20"/>
        </w:rPr>
        <w:t>,</w:t>
      </w:r>
      <w:r w:rsidR="00252948">
        <w:rPr>
          <w:color w:val="FF0000"/>
          <w:sz w:val="20"/>
          <w:szCs w:val="20"/>
        </w:rPr>
        <w:t>28</w:t>
      </w:r>
      <w:proofErr w:type="gramEnd"/>
      <w:r w:rsidR="00FE6AC7">
        <w:rPr>
          <w:color w:val="FF0000"/>
          <w:sz w:val="20"/>
          <w:szCs w:val="20"/>
        </w:rPr>
        <w:t>]</w:t>
      </w:r>
      <w:r w:rsidRPr="00987649">
        <w:rPr>
          <w:sz w:val="20"/>
          <w:szCs w:val="20"/>
        </w:rPr>
        <w:t>.</w:t>
      </w:r>
    </w:p>
    <w:p w:rsidR="0024703D" w:rsidRPr="00987649" w:rsidRDefault="0024703D" w:rsidP="008450B0">
      <w:pPr>
        <w:contextualSpacing/>
        <w:mirrorIndents/>
        <w:jc w:val="both"/>
        <w:rPr>
          <w:sz w:val="20"/>
          <w:szCs w:val="20"/>
        </w:rPr>
      </w:pPr>
    </w:p>
    <w:p w:rsidR="00E863A5" w:rsidRPr="00E9527E" w:rsidRDefault="00E9527E" w:rsidP="008450B0">
      <w:pPr>
        <w:contextualSpacing/>
        <w:mirrorIndents/>
        <w:jc w:val="both"/>
        <w:rPr>
          <w:b/>
          <w:bCs/>
          <w:sz w:val="22"/>
          <w:szCs w:val="22"/>
        </w:rPr>
      </w:pPr>
      <w:r w:rsidRPr="00E9527E">
        <w:rPr>
          <w:b/>
          <w:bCs/>
          <w:sz w:val="22"/>
          <w:szCs w:val="22"/>
        </w:rPr>
        <w:t>Limitations</w:t>
      </w:r>
    </w:p>
    <w:p w:rsidR="00E9527E" w:rsidRPr="00987649" w:rsidRDefault="00E9527E" w:rsidP="008450B0">
      <w:pPr>
        <w:contextualSpacing/>
        <w:mirrorIndents/>
        <w:jc w:val="both"/>
        <w:rPr>
          <w:bCs/>
          <w:sz w:val="20"/>
          <w:szCs w:val="20"/>
        </w:rPr>
      </w:pPr>
    </w:p>
    <w:p w:rsidR="00E863A5" w:rsidRDefault="00E863A5" w:rsidP="008450B0">
      <w:pPr>
        <w:contextualSpacing/>
        <w:mirrorIndents/>
        <w:jc w:val="both"/>
        <w:rPr>
          <w:sz w:val="20"/>
          <w:szCs w:val="20"/>
        </w:rPr>
      </w:pPr>
      <w:r w:rsidRPr="00987649">
        <w:rPr>
          <w:sz w:val="20"/>
          <w:szCs w:val="20"/>
        </w:rPr>
        <w:t>This study has several limitations associated with the nature of the retrospective observational study. This study was restricted to the clinical data available in the EHR. For example, our identification of HAPI was restricted to the wound care nurse notes. Thus, if there was no note entered it is likely that we may have missed developments of wounds. This study did not include factors such as albumin levels to identify malnutrition in these patients or vasopressor use in these patients, both of which have been identified as significant in development of HAPI</w:t>
      </w:r>
      <w:r w:rsidR="00E10DA9">
        <w:rPr>
          <w:sz w:val="20"/>
          <w:szCs w:val="20"/>
        </w:rPr>
        <w:t xml:space="preserve"> </w:t>
      </w:r>
      <w:r w:rsidR="00E10DA9" w:rsidRPr="00750AA5">
        <w:rPr>
          <w:color w:val="FF0000"/>
          <w:sz w:val="20"/>
          <w:szCs w:val="20"/>
        </w:rPr>
        <w:t>[29</w:t>
      </w:r>
      <w:proofErr w:type="gramStart"/>
      <w:r w:rsidR="00E10DA9" w:rsidRPr="00750AA5">
        <w:rPr>
          <w:color w:val="FF0000"/>
          <w:sz w:val="20"/>
          <w:szCs w:val="20"/>
        </w:rPr>
        <w:t>,30</w:t>
      </w:r>
      <w:proofErr w:type="gramEnd"/>
      <w:r w:rsidR="00E10DA9" w:rsidRPr="00750AA5">
        <w:rPr>
          <w:color w:val="FF0000"/>
          <w:sz w:val="20"/>
          <w:szCs w:val="20"/>
        </w:rPr>
        <w:t>]</w:t>
      </w:r>
      <w:r w:rsidRPr="00987649">
        <w:rPr>
          <w:sz w:val="20"/>
          <w:szCs w:val="20"/>
        </w:rPr>
        <w:t xml:space="preserve">. </w:t>
      </w:r>
    </w:p>
    <w:p w:rsidR="00E9527E" w:rsidRPr="00987649" w:rsidRDefault="00E9527E" w:rsidP="008450B0">
      <w:pPr>
        <w:contextualSpacing/>
        <w:mirrorIndents/>
        <w:jc w:val="both"/>
        <w:rPr>
          <w:sz w:val="20"/>
          <w:szCs w:val="20"/>
        </w:rPr>
      </w:pPr>
    </w:p>
    <w:p w:rsidR="00E863A5" w:rsidRPr="00E9527E" w:rsidRDefault="00E9527E" w:rsidP="008450B0">
      <w:pPr>
        <w:contextualSpacing/>
        <w:mirrorIndents/>
        <w:jc w:val="both"/>
        <w:rPr>
          <w:b/>
          <w:bCs/>
          <w:sz w:val="22"/>
          <w:szCs w:val="22"/>
        </w:rPr>
      </w:pPr>
      <w:r w:rsidRPr="00E9527E">
        <w:rPr>
          <w:b/>
          <w:bCs/>
          <w:sz w:val="22"/>
          <w:szCs w:val="22"/>
        </w:rPr>
        <w:t>Conclusion</w:t>
      </w:r>
    </w:p>
    <w:p w:rsidR="00E9527E" w:rsidRPr="00987649" w:rsidRDefault="00E9527E" w:rsidP="008450B0">
      <w:pPr>
        <w:contextualSpacing/>
        <w:mirrorIndents/>
        <w:jc w:val="both"/>
        <w:rPr>
          <w:bCs/>
          <w:sz w:val="20"/>
          <w:szCs w:val="20"/>
        </w:rPr>
      </w:pPr>
    </w:p>
    <w:p w:rsidR="00E863A5" w:rsidRPr="00987649" w:rsidRDefault="00E863A5" w:rsidP="008450B0">
      <w:pPr>
        <w:contextualSpacing/>
        <w:mirrorIndents/>
        <w:jc w:val="both"/>
        <w:rPr>
          <w:sz w:val="20"/>
          <w:szCs w:val="20"/>
        </w:rPr>
      </w:pPr>
      <w:bookmarkStart w:id="13" w:name="_heading=h.gjdgxs" w:colFirst="0" w:colLast="0"/>
      <w:bookmarkEnd w:id="13"/>
      <w:r w:rsidRPr="00987649">
        <w:rPr>
          <w:sz w:val="20"/>
          <w:szCs w:val="20"/>
        </w:rPr>
        <w:t xml:space="preserve">This retrospective observational study did not find that the method of </w:t>
      </w:r>
      <w:proofErr w:type="spellStart"/>
      <w:r w:rsidRPr="00987649">
        <w:rPr>
          <w:sz w:val="20"/>
          <w:szCs w:val="20"/>
        </w:rPr>
        <w:t>proning</w:t>
      </w:r>
      <w:proofErr w:type="spellEnd"/>
      <w:r w:rsidRPr="00987649">
        <w:rPr>
          <w:sz w:val="20"/>
          <w:szCs w:val="20"/>
        </w:rPr>
        <w:t xml:space="preserve"> was a factor in the incidence of HAPI. Using a </w:t>
      </w:r>
      <w:proofErr w:type="spellStart"/>
      <w:r w:rsidRPr="00987649">
        <w:rPr>
          <w:sz w:val="20"/>
          <w:szCs w:val="20"/>
        </w:rPr>
        <w:t>Rotoprone</w:t>
      </w:r>
      <w:proofErr w:type="spellEnd"/>
      <w:r w:rsidRPr="00E9527E">
        <w:rPr>
          <w:color w:val="FF0000"/>
          <w:sz w:val="20"/>
          <w:szCs w:val="20"/>
          <w:vertAlign w:val="superscript"/>
        </w:rPr>
        <w:t>®</w:t>
      </w:r>
      <w:r w:rsidRPr="00987649">
        <w:rPr>
          <w:sz w:val="20"/>
          <w:szCs w:val="20"/>
        </w:rPr>
        <w:t xml:space="preserve"> bed may have advantages with regard to use of manpower to prone and supine patients, </w:t>
      </w:r>
      <w:r w:rsidRPr="00987649">
        <w:rPr>
          <w:sz w:val="20"/>
          <w:szCs w:val="20"/>
        </w:rPr>
        <w:lastRenderedPageBreak/>
        <w:t xml:space="preserve">however, it can be costly. When manual </w:t>
      </w:r>
      <w:proofErr w:type="spellStart"/>
      <w:r w:rsidRPr="00987649">
        <w:rPr>
          <w:sz w:val="20"/>
          <w:szCs w:val="20"/>
        </w:rPr>
        <w:t>proning</w:t>
      </w:r>
      <w:proofErr w:type="spellEnd"/>
      <w:r w:rsidRPr="00987649">
        <w:rPr>
          <w:sz w:val="20"/>
          <w:szCs w:val="20"/>
        </w:rPr>
        <w:t xml:space="preserve"> is the only option, there is considerable effort required to coordinate staff for turning and </w:t>
      </w:r>
      <w:proofErr w:type="spellStart"/>
      <w:r w:rsidRPr="00987649">
        <w:rPr>
          <w:sz w:val="20"/>
          <w:szCs w:val="20"/>
        </w:rPr>
        <w:t>proning</w:t>
      </w:r>
      <w:proofErr w:type="spellEnd"/>
      <w:r w:rsidRPr="00987649">
        <w:rPr>
          <w:sz w:val="20"/>
          <w:szCs w:val="20"/>
        </w:rPr>
        <w:t xml:space="preserve"> patients and utilizing preventative devices to prevent HAPI. Savings from the bed rentals can be used to purchase support surfaces, equipment and devices that can mitigate the development of HAPI.</w:t>
      </w:r>
    </w:p>
    <w:p w:rsidR="00F90F23" w:rsidRPr="00987649" w:rsidRDefault="00F90F23" w:rsidP="008450B0">
      <w:pPr>
        <w:contextualSpacing/>
        <w:mirrorIndents/>
        <w:jc w:val="both"/>
        <w:rPr>
          <w:sz w:val="20"/>
          <w:szCs w:val="20"/>
        </w:rPr>
      </w:pPr>
    </w:p>
    <w:p w:rsidR="00E863A5" w:rsidRPr="00811EFE" w:rsidRDefault="00811EFE" w:rsidP="00811EFE">
      <w:pPr>
        <w:contextualSpacing/>
        <w:mirrorIndents/>
        <w:jc w:val="center"/>
        <w:rPr>
          <w:b/>
          <w:sz w:val="22"/>
          <w:szCs w:val="22"/>
        </w:rPr>
      </w:pPr>
      <w:r w:rsidRPr="00811EFE">
        <w:rPr>
          <w:b/>
          <w:sz w:val="22"/>
          <w:szCs w:val="22"/>
        </w:rPr>
        <w:t>References</w:t>
      </w:r>
    </w:p>
    <w:p w:rsidR="00C20C42" w:rsidRDefault="00C20C42" w:rsidP="008A2F51">
      <w:pPr>
        <w:contextualSpacing/>
        <w:mirrorIndents/>
        <w:jc w:val="both"/>
        <w:rPr>
          <w:color w:val="212121"/>
          <w:sz w:val="20"/>
          <w:szCs w:val="20"/>
        </w:rPr>
      </w:pPr>
    </w:p>
    <w:p w:rsidR="001D3391"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0" w:history="1">
        <w:proofErr w:type="spellStart"/>
        <w:r w:rsidR="001D3391" w:rsidRPr="009037F9">
          <w:rPr>
            <w:rStyle w:val="Hyperlink"/>
            <w:rFonts w:ascii="Times New Roman" w:hAnsi="Times New Roman" w:cs="Times New Roman"/>
            <w:sz w:val="20"/>
            <w:szCs w:val="20"/>
            <w:u w:val="none"/>
          </w:rPr>
          <w:t>Ranieri</w:t>
        </w:r>
        <w:proofErr w:type="spellEnd"/>
        <w:r w:rsidR="001D3391" w:rsidRPr="009037F9">
          <w:rPr>
            <w:rStyle w:val="Hyperlink"/>
            <w:rFonts w:ascii="Times New Roman" w:hAnsi="Times New Roman" w:cs="Times New Roman"/>
            <w:sz w:val="20"/>
            <w:szCs w:val="20"/>
            <w:u w:val="none"/>
          </w:rPr>
          <w:t xml:space="preserve"> VM, </w:t>
        </w:r>
        <w:proofErr w:type="spellStart"/>
        <w:r w:rsidR="001D3391" w:rsidRPr="009037F9">
          <w:rPr>
            <w:rStyle w:val="Hyperlink"/>
            <w:rFonts w:ascii="Times New Roman" w:hAnsi="Times New Roman" w:cs="Times New Roman"/>
            <w:sz w:val="20"/>
            <w:szCs w:val="20"/>
            <w:u w:val="none"/>
          </w:rPr>
          <w:t>Rubenfeld</w:t>
        </w:r>
        <w:proofErr w:type="spellEnd"/>
        <w:r w:rsidR="001D3391" w:rsidRPr="009037F9">
          <w:rPr>
            <w:rStyle w:val="Hyperlink"/>
            <w:rFonts w:ascii="Times New Roman" w:hAnsi="Times New Roman" w:cs="Times New Roman"/>
            <w:sz w:val="20"/>
            <w:szCs w:val="20"/>
            <w:u w:val="none"/>
          </w:rPr>
          <w:t xml:space="preserve"> GD, Thompson BT, et al. (2012) </w:t>
        </w:r>
        <w:proofErr w:type="gramStart"/>
        <w:r w:rsidR="001D3391" w:rsidRPr="009037F9">
          <w:rPr>
            <w:rStyle w:val="Hyperlink"/>
            <w:rFonts w:ascii="Times New Roman" w:hAnsi="Times New Roman" w:cs="Times New Roman"/>
            <w:sz w:val="20"/>
            <w:szCs w:val="20"/>
            <w:u w:val="none"/>
          </w:rPr>
          <w:t>Acute</w:t>
        </w:r>
        <w:proofErr w:type="gramEnd"/>
        <w:r w:rsidR="001D3391" w:rsidRPr="009037F9">
          <w:rPr>
            <w:rStyle w:val="Hyperlink"/>
            <w:rFonts w:ascii="Times New Roman" w:hAnsi="Times New Roman" w:cs="Times New Roman"/>
            <w:sz w:val="20"/>
            <w:szCs w:val="20"/>
            <w:u w:val="none"/>
          </w:rPr>
          <w:t xml:space="preserve"> respiratory distress syndrome: the Berlin Definition. </w:t>
        </w:r>
        <w:proofErr w:type="spellStart"/>
        <w:r w:rsidR="001D3391" w:rsidRPr="009037F9">
          <w:rPr>
            <w:rStyle w:val="Hyperlink"/>
            <w:rFonts w:ascii="Times New Roman" w:hAnsi="Times New Roman" w:cs="Times New Roman"/>
            <w:sz w:val="20"/>
            <w:szCs w:val="20"/>
            <w:u w:val="none"/>
          </w:rPr>
          <w:t>Jama</w:t>
        </w:r>
        <w:proofErr w:type="spellEnd"/>
        <w:r w:rsidR="001D3391" w:rsidRPr="009037F9">
          <w:rPr>
            <w:rStyle w:val="Hyperlink"/>
            <w:rFonts w:ascii="Times New Roman" w:hAnsi="Times New Roman" w:cs="Times New Roman"/>
            <w:sz w:val="20"/>
            <w:szCs w:val="20"/>
            <w:u w:val="none"/>
          </w:rPr>
          <w:t xml:space="preserve"> 307: 2526-2533.</w:t>
        </w:r>
      </w:hyperlink>
    </w:p>
    <w:p w:rsidR="00045EBC"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1" w:history="1">
        <w:r w:rsidR="00045EBC" w:rsidRPr="009037F9">
          <w:rPr>
            <w:rStyle w:val="Hyperlink"/>
            <w:rFonts w:ascii="Times New Roman" w:hAnsi="Times New Roman" w:cs="Times New Roman"/>
            <w:sz w:val="20"/>
            <w:szCs w:val="20"/>
            <w:u w:val="none"/>
          </w:rPr>
          <w:t xml:space="preserve">Brower RG, </w:t>
        </w:r>
        <w:proofErr w:type="spellStart"/>
        <w:r w:rsidR="00045EBC" w:rsidRPr="009037F9">
          <w:rPr>
            <w:rStyle w:val="Hyperlink"/>
            <w:rFonts w:ascii="Times New Roman" w:hAnsi="Times New Roman" w:cs="Times New Roman"/>
            <w:sz w:val="20"/>
            <w:szCs w:val="20"/>
            <w:u w:val="none"/>
          </w:rPr>
          <w:t>Matthay</w:t>
        </w:r>
        <w:proofErr w:type="spellEnd"/>
        <w:r w:rsidR="00045EBC" w:rsidRPr="009037F9">
          <w:rPr>
            <w:rStyle w:val="Hyperlink"/>
            <w:rFonts w:ascii="Times New Roman" w:hAnsi="Times New Roman" w:cs="Times New Roman"/>
            <w:sz w:val="20"/>
            <w:szCs w:val="20"/>
            <w:u w:val="none"/>
          </w:rPr>
          <w:t xml:space="preserve"> MA, Morris A, et al. (2000) Ventilation with lower tidal volumes as compared with traditional tidal volumes for acute lung injury and the acute respiratory distress syndrome. N </w:t>
        </w:r>
        <w:proofErr w:type="spellStart"/>
        <w:r w:rsidR="00045EBC" w:rsidRPr="009037F9">
          <w:rPr>
            <w:rStyle w:val="Hyperlink"/>
            <w:rFonts w:ascii="Times New Roman" w:hAnsi="Times New Roman" w:cs="Times New Roman"/>
            <w:sz w:val="20"/>
            <w:szCs w:val="20"/>
            <w:u w:val="none"/>
          </w:rPr>
          <w:t>Engl</w:t>
        </w:r>
        <w:proofErr w:type="spellEnd"/>
        <w:r w:rsidR="00045EBC" w:rsidRPr="009037F9">
          <w:rPr>
            <w:rStyle w:val="Hyperlink"/>
            <w:rFonts w:ascii="Times New Roman" w:hAnsi="Times New Roman" w:cs="Times New Roman"/>
            <w:sz w:val="20"/>
            <w:szCs w:val="20"/>
            <w:u w:val="none"/>
          </w:rPr>
          <w:t xml:space="preserve"> J Med 342: 1301-1308.</w:t>
        </w:r>
      </w:hyperlink>
    </w:p>
    <w:p w:rsidR="00A5759C"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12" w:history="1">
        <w:r w:rsidR="00A5759C" w:rsidRPr="009037F9">
          <w:rPr>
            <w:rStyle w:val="Hyperlink"/>
            <w:rFonts w:ascii="Times New Roman" w:hAnsi="Times New Roman" w:cs="Times New Roman"/>
            <w:sz w:val="20"/>
            <w:szCs w:val="20"/>
            <w:u w:val="none"/>
          </w:rPr>
          <w:t xml:space="preserve">Griffiths MJD, </w:t>
        </w:r>
        <w:proofErr w:type="spellStart"/>
        <w:r w:rsidR="00A5759C" w:rsidRPr="009037F9">
          <w:rPr>
            <w:rStyle w:val="Hyperlink"/>
            <w:rFonts w:ascii="Times New Roman" w:hAnsi="Times New Roman" w:cs="Times New Roman"/>
            <w:sz w:val="20"/>
            <w:szCs w:val="20"/>
            <w:u w:val="none"/>
          </w:rPr>
          <w:t>McAuley</w:t>
        </w:r>
        <w:proofErr w:type="spellEnd"/>
        <w:r w:rsidR="00A5759C" w:rsidRPr="009037F9">
          <w:rPr>
            <w:rStyle w:val="Hyperlink"/>
            <w:rFonts w:ascii="Times New Roman" w:hAnsi="Times New Roman" w:cs="Times New Roman"/>
            <w:sz w:val="20"/>
            <w:szCs w:val="20"/>
            <w:u w:val="none"/>
          </w:rPr>
          <w:t xml:space="preserve"> DF, Perkins GD, et al. (2019) Guidelines on the management of acute respiratory distress syndrome. BMJ Open </w:t>
        </w:r>
        <w:proofErr w:type="spellStart"/>
        <w:r w:rsidR="00A5759C" w:rsidRPr="009037F9">
          <w:rPr>
            <w:rStyle w:val="Hyperlink"/>
            <w:rFonts w:ascii="Times New Roman" w:hAnsi="Times New Roman" w:cs="Times New Roman"/>
            <w:sz w:val="20"/>
            <w:szCs w:val="20"/>
            <w:u w:val="none"/>
          </w:rPr>
          <w:t>Respir</w:t>
        </w:r>
        <w:proofErr w:type="spellEnd"/>
        <w:r w:rsidR="00A5759C" w:rsidRPr="009037F9">
          <w:rPr>
            <w:rStyle w:val="Hyperlink"/>
            <w:rFonts w:ascii="Times New Roman" w:hAnsi="Times New Roman" w:cs="Times New Roman"/>
            <w:sz w:val="20"/>
            <w:szCs w:val="20"/>
            <w:u w:val="none"/>
          </w:rPr>
          <w:t xml:space="preserve"> Res 6: e000420.</w:t>
        </w:r>
      </w:hyperlink>
    </w:p>
    <w:p w:rsidR="00A5759C"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3" w:history="1">
        <w:proofErr w:type="spellStart"/>
        <w:r w:rsidR="00064264" w:rsidRPr="009037F9">
          <w:rPr>
            <w:rStyle w:val="Hyperlink"/>
            <w:rFonts w:ascii="Times New Roman" w:hAnsi="Times New Roman" w:cs="Times New Roman"/>
            <w:sz w:val="20"/>
            <w:szCs w:val="20"/>
            <w:u w:val="none"/>
          </w:rPr>
          <w:t>Papazian</w:t>
        </w:r>
        <w:proofErr w:type="spellEnd"/>
        <w:r w:rsidR="00064264" w:rsidRPr="009037F9">
          <w:rPr>
            <w:rStyle w:val="Hyperlink"/>
            <w:rFonts w:ascii="Times New Roman" w:hAnsi="Times New Roman" w:cs="Times New Roman"/>
            <w:sz w:val="20"/>
            <w:szCs w:val="20"/>
            <w:u w:val="none"/>
          </w:rPr>
          <w:t xml:space="preserve"> L, </w:t>
        </w:r>
        <w:proofErr w:type="spellStart"/>
        <w:r w:rsidR="00064264" w:rsidRPr="009037F9">
          <w:rPr>
            <w:rStyle w:val="Hyperlink"/>
            <w:rFonts w:ascii="Times New Roman" w:hAnsi="Times New Roman" w:cs="Times New Roman"/>
            <w:sz w:val="20"/>
            <w:szCs w:val="20"/>
            <w:u w:val="none"/>
          </w:rPr>
          <w:t>Aubron</w:t>
        </w:r>
        <w:proofErr w:type="spellEnd"/>
        <w:r w:rsidR="00064264" w:rsidRPr="009037F9">
          <w:rPr>
            <w:rStyle w:val="Hyperlink"/>
            <w:rFonts w:ascii="Times New Roman" w:hAnsi="Times New Roman" w:cs="Times New Roman"/>
            <w:sz w:val="20"/>
            <w:szCs w:val="20"/>
            <w:u w:val="none"/>
          </w:rPr>
          <w:t xml:space="preserve"> C, </w:t>
        </w:r>
        <w:proofErr w:type="spellStart"/>
        <w:r w:rsidR="00064264" w:rsidRPr="009037F9">
          <w:rPr>
            <w:rStyle w:val="Hyperlink"/>
            <w:rFonts w:ascii="Times New Roman" w:hAnsi="Times New Roman" w:cs="Times New Roman"/>
            <w:sz w:val="20"/>
            <w:szCs w:val="20"/>
            <w:u w:val="none"/>
          </w:rPr>
          <w:t>Brochard</w:t>
        </w:r>
        <w:proofErr w:type="spellEnd"/>
        <w:r w:rsidR="00064264" w:rsidRPr="009037F9">
          <w:rPr>
            <w:rStyle w:val="Hyperlink"/>
            <w:rFonts w:ascii="Times New Roman" w:hAnsi="Times New Roman" w:cs="Times New Roman"/>
            <w:sz w:val="20"/>
            <w:szCs w:val="20"/>
            <w:u w:val="none"/>
          </w:rPr>
          <w:t xml:space="preserve"> L, et al. (2019) Formal guidelines: management of acute respiratory distress syndrome. Ann Intensive Care 9: 69.</w:t>
        </w:r>
      </w:hyperlink>
    </w:p>
    <w:p w:rsidR="0020747F"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4" w:history="1">
        <w:r w:rsidR="0020747F" w:rsidRPr="009037F9">
          <w:rPr>
            <w:rStyle w:val="Hyperlink"/>
            <w:rFonts w:ascii="Times New Roman" w:hAnsi="Times New Roman" w:cs="Times New Roman"/>
            <w:sz w:val="20"/>
            <w:szCs w:val="20"/>
            <w:u w:val="none"/>
          </w:rPr>
          <w:t xml:space="preserve">Park SY, Kim HJ, </w:t>
        </w:r>
        <w:proofErr w:type="spellStart"/>
        <w:r w:rsidR="0020747F" w:rsidRPr="009037F9">
          <w:rPr>
            <w:rStyle w:val="Hyperlink"/>
            <w:rFonts w:ascii="Times New Roman" w:hAnsi="Times New Roman" w:cs="Times New Roman"/>
            <w:sz w:val="20"/>
            <w:szCs w:val="20"/>
            <w:u w:val="none"/>
          </w:rPr>
          <w:t>Yoo</w:t>
        </w:r>
        <w:proofErr w:type="spellEnd"/>
        <w:r w:rsidR="0020747F" w:rsidRPr="009037F9">
          <w:rPr>
            <w:rStyle w:val="Hyperlink"/>
            <w:rFonts w:ascii="Times New Roman" w:hAnsi="Times New Roman" w:cs="Times New Roman"/>
            <w:sz w:val="20"/>
            <w:szCs w:val="20"/>
            <w:u w:val="none"/>
          </w:rPr>
          <w:t xml:space="preserve"> KH, et al. (2015) </w:t>
        </w:r>
        <w:proofErr w:type="gramStart"/>
        <w:r w:rsidR="0020747F" w:rsidRPr="009037F9">
          <w:rPr>
            <w:rStyle w:val="Hyperlink"/>
            <w:rFonts w:ascii="Times New Roman" w:hAnsi="Times New Roman" w:cs="Times New Roman"/>
            <w:sz w:val="20"/>
            <w:szCs w:val="20"/>
            <w:u w:val="none"/>
          </w:rPr>
          <w:t>The</w:t>
        </w:r>
        <w:proofErr w:type="gramEnd"/>
        <w:r w:rsidR="0020747F" w:rsidRPr="009037F9">
          <w:rPr>
            <w:rStyle w:val="Hyperlink"/>
            <w:rFonts w:ascii="Times New Roman" w:hAnsi="Times New Roman" w:cs="Times New Roman"/>
            <w:sz w:val="20"/>
            <w:szCs w:val="20"/>
            <w:u w:val="none"/>
          </w:rPr>
          <w:t xml:space="preserve"> efficacy and safety of prone positioning in adults patients with acute respiratory distress syndrome: a meta-analysis of randomized controlled trials. J </w:t>
        </w:r>
        <w:proofErr w:type="spellStart"/>
        <w:r w:rsidR="0020747F" w:rsidRPr="009037F9">
          <w:rPr>
            <w:rStyle w:val="Hyperlink"/>
            <w:rFonts w:ascii="Times New Roman" w:hAnsi="Times New Roman" w:cs="Times New Roman"/>
            <w:sz w:val="20"/>
            <w:szCs w:val="20"/>
            <w:u w:val="none"/>
          </w:rPr>
          <w:t>Thorac</w:t>
        </w:r>
        <w:proofErr w:type="spellEnd"/>
        <w:r w:rsidR="0020747F" w:rsidRPr="009037F9">
          <w:rPr>
            <w:rStyle w:val="Hyperlink"/>
            <w:rFonts w:ascii="Times New Roman" w:hAnsi="Times New Roman" w:cs="Times New Roman"/>
            <w:sz w:val="20"/>
            <w:szCs w:val="20"/>
            <w:u w:val="none"/>
          </w:rPr>
          <w:t xml:space="preserve"> Dis 7: 356-367.</w:t>
        </w:r>
      </w:hyperlink>
    </w:p>
    <w:p w:rsidR="00E24872"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5" w:history="1">
        <w:proofErr w:type="spellStart"/>
        <w:r w:rsidR="00E24872" w:rsidRPr="009037F9">
          <w:rPr>
            <w:rStyle w:val="Hyperlink"/>
            <w:rFonts w:ascii="Times New Roman" w:hAnsi="Times New Roman" w:cs="Times New Roman"/>
            <w:sz w:val="20"/>
            <w:szCs w:val="20"/>
            <w:u w:val="none"/>
          </w:rPr>
          <w:t>Kallet</w:t>
        </w:r>
        <w:proofErr w:type="spellEnd"/>
        <w:r w:rsidR="00E24872" w:rsidRPr="009037F9">
          <w:rPr>
            <w:rStyle w:val="Hyperlink"/>
            <w:rFonts w:ascii="Times New Roman" w:hAnsi="Times New Roman" w:cs="Times New Roman"/>
            <w:sz w:val="20"/>
            <w:szCs w:val="20"/>
            <w:u w:val="none"/>
          </w:rPr>
          <w:t xml:space="preserve"> RH (2015) A Comprehensive Review of Prone Position in ARDS. </w:t>
        </w:r>
        <w:proofErr w:type="spellStart"/>
        <w:r w:rsidR="00E24872" w:rsidRPr="009037F9">
          <w:rPr>
            <w:rStyle w:val="Hyperlink"/>
            <w:rFonts w:ascii="Times New Roman" w:hAnsi="Times New Roman" w:cs="Times New Roman"/>
            <w:sz w:val="20"/>
            <w:szCs w:val="20"/>
            <w:u w:val="none"/>
          </w:rPr>
          <w:t>Respir</w:t>
        </w:r>
        <w:proofErr w:type="spellEnd"/>
        <w:r w:rsidR="00E24872" w:rsidRPr="009037F9">
          <w:rPr>
            <w:rStyle w:val="Hyperlink"/>
            <w:rFonts w:ascii="Times New Roman" w:hAnsi="Times New Roman" w:cs="Times New Roman"/>
            <w:sz w:val="20"/>
            <w:szCs w:val="20"/>
            <w:u w:val="none"/>
          </w:rPr>
          <w:t xml:space="preserve"> Care 60: 1660-1687.</w:t>
        </w:r>
      </w:hyperlink>
    </w:p>
    <w:p w:rsidR="00627D79"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6" w:history="1">
        <w:r w:rsidR="00627D79" w:rsidRPr="009037F9">
          <w:rPr>
            <w:rStyle w:val="Hyperlink"/>
            <w:rFonts w:ascii="Times New Roman" w:hAnsi="Times New Roman" w:cs="Times New Roman"/>
            <w:sz w:val="20"/>
            <w:szCs w:val="20"/>
            <w:u w:val="none"/>
          </w:rPr>
          <w:t>Team V, Team L, Jones A, et al. (2020) Pressure Injury Prevention in COVID-19 Patients with Acute Respiratory Distress Syndrome. Front Med (Lausanne) 7: 558696.</w:t>
        </w:r>
      </w:hyperlink>
    </w:p>
    <w:p w:rsidR="0054705C"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7" w:history="1">
        <w:proofErr w:type="spellStart"/>
        <w:r w:rsidR="0054705C" w:rsidRPr="009037F9">
          <w:rPr>
            <w:rStyle w:val="Hyperlink"/>
            <w:rFonts w:ascii="Times New Roman" w:hAnsi="Times New Roman" w:cs="Times New Roman"/>
            <w:sz w:val="20"/>
            <w:szCs w:val="20"/>
            <w:u w:val="none"/>
          </w:rPr>
          <w:t>Munshi</w:t>
        </w:r>
        <w:proofErr w:type="spellEnd"/>
        <w:r w:rsidR="0054705C" w:rsidRPr="009037F9">
          <w:rPr>
            <w:rStyle w:val="Hyperlink"/>
            <w:rFonts w:ascii="Times New Roman" w:hAnsi="Times New Roman" w:cs="Times New Roman"/>
            <w:sz w:val="20"/>
            <w:szCs w:val="20"/>
            <w:u w:val="none"/>
          </w:rPr>
          <w:t xml:space="preserve"> L, Del </w:t>
        </w:r>
        <w:proofErr w:type="spellStart"/>
        <w:r w:rsidR="0054705C" w:rsidRPr="009037F9">
          <w:rPr>
            <w:rStyle w:val="Hyperlink"/>
            <w:rFonts w:ascii="Times New Roman" w:hAnsi="Times New Roman" w:cs="Times New Roman"/>
            <w:sz w:val="20"/>
            <w:szCs w:val="20"/>
            <w:u w:val="none"/>
          </w:rPr>
          <w:t>Sorbo</w:t>
        </w:r>
        <w:proofErr w:type="spellEnd"/>
        <w:r w:rsidR="0054705C" w:rsidRPr="009037F9">
          <w:rPr>
            <w:rStyle w:val="Hyperlink"/>
            <w:rFonts w:ascii="Times New Roman" w:hAnsi="Times New Roman" w:cs="Times New Roman"/>
            <w:sz w:val="20"/>
            <w:szCs w:val="20"/>
            <w:u w:val="none"/>
          </w:rPr>
          <w:t xml:space="preserve"> L, </w:t>
        </w:r>
        <w:proofErr w:type="spellStart"/>
        <w:r w:rsidR="0054705C" w:rsidRPr="009037F9">
          <w:rPr>
            <w:rStyle w:val="Hyperlink"/>
            <w:rFonts w:ascii="Times New Roman" w:hAnsi="Times New Roman" w:cs="Times New Roman"/>
            <w:sz w:val="20"/>
            <w:szCs w:val="20"/>
            <w:u w:val="none"/>
          </w:rPr>
          <w:t>Adhikari</w:t>
        </w:r>
        <w:proofErr w:type="spellEnd"/>
        <w:r w:rsidR="0054705C" w:rsidRPr="009037F9">
          <w:rPr>
            <w:rStyle w:val="Hyperlink"/>
            <w:rFonts w:ascii="Times New Roman" w:hAnsi="Times New Roman" w:cs="Times New Roman"/>
            <w:sz w:val="20"/>
            <w:szCs w:val="20"/>
            <w:u w:val="none"/>
          </w:rPr>
          <w:t xml:space="preserve"> NKJ, et al. (2017) Prone Position for Acute Respiratory Distress Syndrome. A Systematic Review and Meta-Analysis. Ann Am </w:t>
        </w:r>
        <w:proofErr w:type="spellStart"/>
        <w:r w:rsidR="0054705C" w:rsidRPr="009037F9">
          <w:rPr>
            <w:rStyle w:val="Hyperlink"/>
            <w:rFonts w:ascii="Times New Roman" w:hAnsi="Times New Roman" w:cs="Times New Roman"/>
            <w:sz w:val="20"/>
            <w:szCs w:val="20"/>
            <w:u w:val="none"/>
          </w:rPr>
          <w:t>Thorac</w:t>
        </w:r>
        <w:proofErr w:type="spellEnd"/>
        <w:r w:rsidR="0054705C" w:rsidRPr="009037F9">
          <w:rPr>
            <w:rStyle w:val="Hyperlink"/>
            <w:rFonts w:ascii="Times New Roman" w:hAnsi="Times New Roman" w:cs="Times New Roman"/>
            <w:sz w:val="20"/>
            <w:szCs w:val="20"/>
            <w:u w:val="none"/>
          </w:rPr>
          <w:t xml:space="preserve"> </w:t>
        </w:r>
        <w:proofErr w:type="spellStart"/>
        <w:r w:rsidR="0054705C" w:rsidRPr="009037F9">
          <w:rPr>
            <w:rStyle w:val="Hyperlink"/>
            <w:rFonts w:ascii="Times New Roman" w:hAnsi="Times New Roman" w:cs="Times New Roman"/>
            <w:sz w:val="20"/>
            <w:szCs w:val="20"/>
            <w:u w:val="none"/>
          </w:rPr>
          <w:t>Soc</w:t>
        </w:r>
        <w:proofErr w:type="spellEnd"/>
        <w:r w:rsidR="0054705C" w:rsidRPr="009037F9">
          <w:rPr>
            <w:rStyle w:val="Hyperlink"/>
            <w:rFonts w:ascii="Times New Roman" w:hAnsi="Times New Roman" w:cs="Times New Roman"/>
            <w:sz w:val="20"/>
            <w:szCs w:val="20"/>
            <w:u w:val="none"/>
          </w:rPr>
          <w:t xml:space="preserve"> 14(Supplement_4): S280-s288.</w:t>
        </w:r>
      </w:hyperlink>
    </w:p>
    <w:p w:rsidR="001257DA"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8" w:history="1">
        <w:r w:rsidR="001257DA" w:rsidRPr="009037F9">
          <w:rPr>
            <w:rStyle w:val="Hyperlink"/>
            <w:rFonts w:ascii="Times New Roman" w:hAnsi="Times New Roman" w:cs="Times New Roman"/>
            <w:sz w:val="20"/>
            <w:szCs w:val="20"/>
            <w:u w:val="none"/>
          </w:rPr>
          <w:t xml:space="preserve">Girard R, </w:t>
        </w:r>
        <w:proofErr w:type="spellStart"/>
        <w:r w:rsidR="001257DA" w:rsidRPr="009037F9">
          <w:rPr>
            <w:rStyle w:val="Hyperlink"/>
            <w:rFonts w:ascii="Times New Roman" w:hAnsi="Times New Roman" w:cs="Times New Roman"/>
            <w:sz w:val="20"/>
            <w:szCs w:val="20"/>
            <w:u w:val="none"/>
          </w:rPr>
          <w:t>Baboi</w:t>
        </w:r>
        <w:proofErr w:type="spellEnd"/>
        <w:r w:rsidR="001257DA" w:rsidRPr="009037F9">
          <w:rPr>
            <w:rStyle w:val="Hyperlink"/>
            <w:rFonts w:ascii="Times New Roman" w:hAnsi="Times New Roman" w:cs="Times New Roman"/>
            <w:sz w:val="20"/>
            <w:szCs w:val="20"/>
            <w:u w:val="none"/>
          </w:rPr>
          <w:t xml:space="preserve"> L, </w:t>
        </w:r>
        <w:proofErr w:type="spellStart"/>
        <w:r w:rsidR="001257DA" w:rsidRPr="009037F9">
          <w:rPr>
            <w:rStyle w:val="Hyperlink"/>
            <w:rFonts w:ascii="Times New Roman" w:hAnsi="Times New Roman" w:cs="Times New Roman"/>
            <w:sz w:val="20"/>
            <w:szCs w:val="20"/>
            <w:u w:val="none"/>
          </w:rPr>
          <w:t>Ayzac</w:t>
        </w:r>
        <w:proofErr w:type="spellEnd"/>
        <w:r w:rsidR="001257DA" w:rsidRPr="009037F9">
          <w:rPr>
            <w:rStyle w:val="Hyperlink"/>
            <w:rFonts w:ascii="Times New Roman" w:hAnsi="Times New Roman" w:cs="Times New Roman"/>
            <w:sz w:val="20"/>
            <w:szCs w:val="20"/>
            <w:u w:val="none"/>
          </w:rPr>
          <w:t xml:space="preserve"> L, et al. (2014) </w:t>
        </w:r>
        <w:proofErr w:type="gramStart"/>
        <w:r w:rsidR="001257DA" w:rsidRPr="009037F9">
          <w:rPr>
            <w:rStyle w:val="Hyperlink"/>
            <w:rFonts w:ascii="Times New Roman" w:hAnsi="Times New Roman" w:cs="Times New Roman"/>
            <w:sz w:val="20"/>
            <w:szCs w:val="20"/>
            <w:u w:val="none"/>
          </w:rPr>
          <w:t>The</w:t>
        </w:r>
        <w:proofErr w:type="gramEnd"/>
        <w:r w:rsidR="001257DA" w:rsidRPr="009037F9">
          <w:rPr>
            <w:rStyle w:val="Hyperlink"/>
            <w:rFonts w:ascii="Times New Roman" w:hAnsi="Times New Roman" w:cs="Times New Roman"/>
            <w:sz w:val="20"/>
            <w:szCs w:val="20"/>
            <w:u w:val="none"/>
          </w:rPr>
          <w:t xml:space="preserve"> impact of patient positioning on pressure ulcers in patients with severe ARDS: results from a </w:t>
        </w:r>
        <w:proofErr w:type="spellStart"/>
        <w:r w:rsidR="001257DA" w:rsidRPr="009037F9">
          <w:rPr>
            <w:rStyle w:val="Hyperlink"/>
            <w:rFonts w:ascii="Times New Roman" w:hAnsi="Times New Roman" w:cs="Times New Roman"/>
            <w:sz w:val="20"/>
            <w:szCs w:val="20"/>
            <w:u w:val="none"/>
          </w:rPr>
          <w:t>multicentre</w:t>
        </w:r>
        <w:proofErr w:type="spellEnd"/>
        <w:r w:rsidR="001257DA" w:rsidRPr="009037F9">
          <w:rPr>
            <w:rStyle w:val="Hyperlink"/>
            <w:rFonts w:ascii="Times New Roman" w:hAnsi="Times New Roman" w:cs="Times New Roman"/>
            <w:sz w:val="20"/>
            <w:szCs w:val="20"/>
            <w:u w:val="none"/>
          </w:rPr>
          <w:t xml:space="preserve"> </w:t>
        </w:r>
        <w:proofErr w:type="spellStart"/>
        <w:r w:rsidR="001257DA" w:rsidRPr="009037F9">
          <w:rPr>
            <w:rStyle w:val="Hyperlink"/>
            <w:rFonts w:ascii="Times New Roman" w:hAnsi="Times New Roman" w:cs="Times New Roman"/>
            <w:sz w:val="20"/>
            <w:szCs w:val="20"/>
            <w:u w:val="none"/>
          </w:rPr>
          <w:t>randomised</w:t>
        </w:r>
        <w:proofErr w:type="spellEnd"/>
        <w:r w:rsidR="001257DA" w:rsidRPr="009037F9">
          <w:rPr>
            <w:rStyle w:val="Hyperlink"/>
            <w:rFonts w:ascii="Times New Roman" w:hAnsi="Times New Roman" w:cs="Times New Roman"/>
            <w:sz w:val="20"/>
            <w:szCs w:val="20"/>
            <w:u w:val="none"/>
          </w:rPr>
          <w:t xml:space="preserve"> controlled trial on prone positioning. Intensive Care Med 40: 397-403.</w:t>
        </w:r>
      </w:hyperlink>
    </w:p>
    <w:p w:rsidR="00CD0F21"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19" w:history="1">
        <w:proofErr w:type="spellStart"/>
        <w:r w:rsidR="00CD0F21" w:rsidRPr="009037F9">
          <w:rPr>
            <w:rStyle w:val="Hyperlink"/>
            <w:rFonts w:ascii="Times New Roman" w:hAnsi="Times New Roman" w:cs="Times New Roman"/>
            <w:sz w:val="20"/>
            <w:szCs w:val="20"/>
            <w:u w:val="none"/>
          </w:rPr>
          <w:t>Lucchini</w:t>
        </w:r>
        <w:proofErr w:type="spellEnd"/>
        <w:r w:rsidR="00CD0F21" w:rsidRPr="009037F9">
          <w:rPr>
            <w:rStyle w:val="Hyperlink"/>
            <w:rFonts w:ascii="Times New Roman" w:hAnsi="Times New Roman" w:cs="Times New Roman"/>
            <w:sz w:val="20"/>
            <w:szCs w:val="20"/>
            <w:u w:val="none"/>
          </w:rPr>
          <w:t xml:space="preserve"> A, Bambi S, </w:t>
        </w:r>
        <w:proofErr w:type="spellStart"/>
        <w:r w:rsidR="00CD0F21" w:rsidRPr="009037F9">
          <w:rPr>
            <w:rStyle w:val="Hyperlink"/>
            <w:rFonts w:ascii="Times New Roman" w:hAnsi="Times New Roman" w:cs="Times New Roman"/>
            <w:sz w:val="20"/>
            <w:szCs w:val="20"/>
            <w:u w:val="none"/>
          </w:rPr>
          <w:t>Mattiussi</w:t>
        </w:r>
        <w:proofErr w:type="spellEnd"/>
        <w:r w:rsidR="00CD0F21" w:rsidRPr="009037F9">
          <w:rPr>
            <w:rStyle w:val="Hyperlink"/>
            <w:rFonts w:ascii="Times New Roman" w:hAnsi="Times New Roman" w:cs="Times New Roman"/>
            <w:sz w:val="20"/>
            <w:szCs w:val="20"/>
            <w:u w:val="none"/>
          </w:rPr>
          <w:t xml:space="preserve"> E, et al. (2020) Prone Position in Acute Respiratory Distress Syndrome Patients: A Retrospective Analysis of Complications. </w:t>
        </w:r>
        <w:proofErr w:type="spellStart"/>
        <w:r w:rsidR="00CD0F21" w:rsidRPr="009037F9">
          <w:rPr>
            <w:rStyle w:val="Hyperlink"/>
            <w:rFonts w:ascii="Times New Roman" w:hAnsi="Times New Roman" w:cs="Times New Roman"/>
            <w:sz w:val="20"/>
            <w:szCs w:val="20"/>
            <w:u w:val="none"/>
          </w:rPr>
          <w:t>Dimens</w:t>
        </w:r>
        <w:proofErr w:type="spellEnd"/>
        <w:r w:rsidR="00CD0F21" w:rsidRPr="009037F9">
          <w:rPr>
            <w:rStyle w:val="Hyperlink"/>
            <w:rFonts w:ascii="Times New Roman" w:hAnsi="Times New Roman" w:cs="Times New Roman"/>
            <w:sz w:val="20"/>
            <w:szCs w:val="20"/>
            <w:u w:val="none"/>
          </w:rPr>
          <w:t xml:space="preserve"> </w:t>
        </w:r>
        <w:proofErr w:type="spellStart"/>
        <w:r w:rsidR="00CD0F21" w:rsidRPr="009037F9">
          <w:rPr>
            <w:rStyle w:val="Hyperlink"/>
            <w:rFonts w:ascii="Times New Roman" w:hAnsi="Times New Roman" w:cs="Times New Roman"/>
            <w:sz w:val="20"/>
            <w:szCs w:val="20"/>
            <w:u w:val="none"/>
          </w:rPr>
          <w:t>Crit</w:t>
        </w:r>
        <w:proofErr w:type="spellEnd"/>
        <w:r w:rsidR="00CD0F21" w:rsidRPr="009037F9">
          <w:rPr>
            <w:rStyle w:val="Hyperlink"/>
            <w:rFonts w:ascii="Times New Roman" w:hAnsi="Times New Roman" w:cs="Times New Roman"/>
            <w:sz w:val="20"/>
            <w:szCs w:val="20"/>
            <w:u w:val="none"/>
          </w:rPr>
          <w:t xml:space="preserve"> Care </w:t>
        </w:r>
        <w:proofErr w:type="spellStart"/>
        <w:r w:rsidR="00CD0F21" w:rsidRPr="009037F9">
          <w:rPr>
            <w:rStyle w:val="Hyperlink"/>
            <w:rFonts w:ascii="Times New Roman" w:hAnsi="Times New Roman" w:cs="Times New Roman"/>
            <w:sz w:val="20"/>
            <w:szCs w:val="20"/>
            <w:u w:val="none"/>
          </w:rPr>
          <w:t>Nurs</w:t>
        </w:r>
        <w:proofErr w:type="spellEnd"/>
        <w:r w:rsidR="00CD0F21" w:rsidRPr="009037F9">
          <w:rPr>
            <w:rStyle w:val="Hyperlink"/>
            <w:rFonts w:ascii="Times New Roman" w:hAnsi="Times New Roman" w:cs="Times New Roman"/>
            <w:sz w:val="20"/>
            <w:szCs w:val="20"/>
            <w:u w:val="none"/>
          </w:rPr>
          <w:t xml:space="preserve"> 39: 39-46.</w:t>
        </w:r>
      </w:hyperlink>
    </w:p>
    <w:p w:rsidR="00F35336"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20" w:history="1">
        <w:r w:rsidR="00F35336" w:rsidRPr="009037F9">
          <w:rPr>
            <w:rStyle w:val="Hyperlink"/>
            <w:rFonts w:ascii="Times New Roman" w:hAnsi="Times New Roman" w:cs="Times New Roman"/>
            <w:sz w:val="20"/>
            <w:szCs w:val="20"/>
            <w:u w:val="none"/>
          </w:rPr>
          <w:t xml:space="preserve">Martel T, </w:t>
        </w:r>
        <w:proofErr w:type="spellStart"/>
        <w:r w:rsidR="00F35336" w:rsidRPr="009037F9">
          <w:rPr>
            <w:rStyle w:val="Hyperlink"/>
            <w:rFonts w:ascii="Times New Roman" w:hAnsi="Times New Roman" w:cs="Times New Roman"/>
            <w:sz w:val="20"/>
            <w:szCs w:val="20"/>
            <w:u w:val="none"/>
          </w:rPr>
          <w:t>Orgill</w:t>
        </w:r>
        <w:proofErr w:type="spellEnd"/>
        <w:r w:rsidR="00F35336" w:rsidRPr="009037F9">
          <w:rPr>
            <w:rStyle w:val="Hyperlink"/>
            <w:rFonts w:ascii="Times New Roman" w:hAnsi="Times New Roman" w:cs="Times New Roman"/>
            <w:sz w:val="20"/>
            <w:szCs w:val="20"/>
            <w:u w:val="none"/>
          </w:rPr>
          <w:t xml:space="preserve"> DP (2020) Medical Device-Related Pressure Injuries </w:t>
        </w:r>
        <w:proofErr w:type="gramStart"/>
        <w:r w:rsidR="00F35336" w:rsidRPr="009037F9">
          <w:rPr>
            <w:rStyle w:val="Hyperlink"/>
            <w:rFonts w:ascii="Times New Roman" w:hAnsi="Times New Roman" w:cs="Times New Roman"/>
            <w:sz w:val="20"/>
            <w:szCs w:val="20"/>
            <w:u w:val="none"/>
          </w:rPr>
          <w:t>During</w:t>
        </w:r>
        <w:proofErr w:type="gramEnd"/>
        <w:r w:rsidR="00F35336" w:rsidRPr="009037F9">
          <w:rPr>
            <w:rStyle w:val="Hyperlink"/>
            <w:rFonts w:ascii="Times New Roman" w:hAnsi="Times New Roman" w:cs="Times New Roman"/>
            <w:sz w:val="20"/>
            <w:szCs w:val="20"/>
            <w:u w:val="none"/>
          </w:rPr>
          <w:t xml:space="preserve"> the COVID-19 Pandemic. J Wound Ostomy Continence </w:t>
        </w:r>
        <w:proofErr w:type="spellStart"/>
        <w:r w:rsidR="00F35336" w:rsidRPr="009037F9">
          <w:rPr>
            <w:rStyle w:val="Hyperlink"/>
            <w:rFonts w:ascii="Times New Roman" w:hAnsi="Times New Roman" w:cs="Times New Roman"/>
            <w:sz w:val="20"/>
            <w:szCs w:val="20"/>
            <w:u w:val="none"/>
          </w:rPr>
          <w:t>Nurs</w:t>
        </w:r>
        <w:proofErr w:type="spellEnd"/>
        <w:r w:rsidR="00F35336" w:rsidRPr="009037F9">
          <w:rPr>
            <w:rStyle w:val="Hyperlink"/>
            <w:rFonts w:ascii="Times New Roman" w:hAnsi="Times New Roman" w:cs="Times New Roman"/>
            <w:sz w:val="20"/>
            <w:szCs w:val="20"/>
            <w:u w:val="none"/>
          </w:rPr>
          <w:t xml:space="preserve"> 47: 430-434.</w:t>
        </w:r>
      </w:hyperlink>
    </w:p>
    <w:p w:rsidR="00E65198"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21" w:history="1">
        <w:proofErr w:type="spellStart"/>
        <w:r w:rsidR="00E65198" w:rsidRPr="009037F9">
          <w:rPr>
            <w:rStyle w:val="Hyperlink"/>
            <w:rFonts w:ascii="Times New Roman" w:hAnsi="Times New Roman" w:cs="Times New Roman"/>
            <w:sz w:val="20"/>
            <w:szCs w:val="20"/>
            <w:u w:val="none"/>
          </w:rPr>
          <w:t>Morata</w:t>
        </w:r>
        <w:proofErr w:type="spellEnd"/>
        <w:r w:rsidR="00E65198" w:rsidRPr="009037F9">
          <w:rPr>
            <w:rStyle w:val="Hyperlink"/>
            <w:rFonts w:ascii="Times New Roman" w:hAnsi="Times New Roman" w:cs="Times New Roman"/>
            <w:sz w:val="20"/>
            <w:szCs w:val="20"/>
            <w:u w:val="none"/>
          </w:rPr>
          <w:t xml:space="preserve"> L, Sole ML, Guido-</w:t>
        </w:r>
        <w:proofErr w:type="spellStart"/>
        <w:r w:rsidR="00E65198" w:rsidRPr="009037F9">
          <w:rPr>
            <w:rStyle w:val="Hyperlink"/>
            <w:rFonts w:ascii="Times New Roman" w:hAnsi="Times New Roman" w:cs="Times New Roman"/>
            <w:sz w:val="20"/>
            <w:szCs w:val="20"/>
            <w:u w:val="none"/>
          </w:rPr>
          <w:t>Sanz</w:t>
        </w:r>
        <w:proofErr w:type="spellEnd"/>
        <w:r w:rsidR="00E65198" w:rsidRPr="009037F9">
          <w:rPr>
            <w:rStyle w:val="Hyperlink"/>
            <w:rFonts w:ascii="Times New Roman" w:hAnsi="Times New Roman" w:cs="Times New Roman"/>
            <w:sz w:val="20"/>
            <w:szCs w:val="20"/>
            <w:u w:val="none"/>
          </w:rPr>
          <w:t xml:space="preserve"> F, et al. (2021) Manual vs Automatic Prone Positioning and Patient Outcomes in Acute Respiratory Distress Syndrome. Am J </w:t>
        </w:r>
        <w:proofErr w:type="spellStart"/>
        <w:r w:rsidR="00E65198" w:rsidRPr="009037F9">
          <w:rPr>
            <w:rStyle w:val="Hyperlink"/>
            <w:rFonts w:ascii="Times New Roman" w:hAnsi="Times New Roman" w:cs="Times New Roman"/>
            <w:sz w:val="20"/>
            <w:szCs w:val="20"/>
            <w:u w:val="none"/>
          </w:rPr>
          <w:t>Crit</w:t>
        </w:r>
        <w:proofErr w:type="spellEnd"/>
        <w:r w:rsidR="00E65198" w:rsidRPr="009037F9">
          <w:rPr>
            <w:rStyle w:val="Hyperlink"/>
            <w:rFonts w:ascii="Times New Roman" w:hAnsi="Times New Roman" w:cs="Times New Roman"/>
            <w:sz w:val="20"/>
            <w:szCs w:val="20"/>
            <w:u w:val="none"/>
          </w:rPr>
          <w:t xml:space="preserve"> Care 30: 104-</w:t>
        </w:r>
        <w:proofErr w:type="gramStart"/>
        <w:r w:rsidR="00E65198" w:rsidRPr="009037F9">
          <w:rPr>
            <w:rStyle w:val="Hyperlink"/>
            <w:rFonts w:ascii="Times New Roman" w:hAnsi="Times New Roman" w:cs="Times New Roman"/>
            <w:sz w:val="20"/>
            <w:szCs w:val="20"/>
            <w:u w:val="none"/>
          </w:rPr>
          <w:t>112.</w:t>
        </w:r>
        <w:proofErr w:type="gramEnd"/>
      </w:hyperlink>
    </w:p>
    <w:p w:rsidR="00E65198"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22" w:history="1">
        <w:proofErr w:type="spellStart"/>
        <w:r w:rsidR="00560A03" w:rsidRPr="009037F9">
          <w:rPr>
            <w:rStyle w:val="Hyperlink"/>
            <w:rFonts w:ascii="Times New Roman" w:hAnsi="Times New Roman" w:cs="Times New Roman"/>
            <w:sz w:val="20"/>
            <w:szCs w:val="20"/>
            <w:u w:val="none"/>
          </w:rPr>
          <w:t>Capasso</w:t>
        </w:r>
        <w:proofErr w:type="spellEnd"/>
        <w:r w:rsidR="00560A03" w:rsidRPr="009037F9">
          <w:rPr>
            <w:rStyle w:val="Hyperlink"/>
            <w:rFonts w:ascii="Times New Roman" w:hAnsi="Times New Roman" w:cs="Times New Roman"/>
            <w:sz w:val="20"/>
            <w:szCs w:val="20"/>
            <w:u w:val="none"/>
          </w:rPr>
          <w:t xml:space="preserve"> V, </w:t>
        </w:r>
        <w:proofErr w:type="spellStart"/>
        <w:r w:rsidR="00560A03" w:rsidRPr="009037F9">
          <w:rPr>
            <w:rStyle w:val="Hyperlink"/>
            <w:rFonts w:ascii="Times New Roman" w:hAnsi="Times New Roman" w:cs="Times New Roman"/>
            <w:sz w:val="20"/>
            <w:szCs w:val="20"/>
            <w:u w:val="none"/>
          </w:rPr>
          <w:t>Snydeman</w:t>
        </w:r>
        <w:proofErr w:type="spellEnd"/>
        <w:r w:rsidR="00560A03" w:rsidRPr="009037F9">
          <w:rPr>
            <w:rStyle w:val="Hyperlink"/>
            <w:rFonts w:ascii="Times New Roman" w:hAnsi="Times New Roman" w:cs="Times New Roman"/>
            <w:sz w:val="20"/>
            <w:szCs w:val="20"/>
            <w:u w:val="none"/>
          </w:rPr>
          <w:t xml:space="preserve"> C, Miguel K, et al. (2021) Pressure Injury Development, Mitigation, and Outcomes of Patients </w:t>
        </w:r>
        <w:proofErr w:type="spellStart"/>
        <w:r w:rsidR="00560A03" w:rsidRPr="009037F9">
          <w:rPr>
            <w:rStyle w:val="Hyperlink"/>
            <w:rFonts w:ascii="Times New Roman" w:hAnsi="Times New Roman" w:cs="Times New Roman"/>
            <w:sz w:val="20"/>
            <w:szCs w:val="20"/>
            <w:u w:val="none"/>
          </w:rPr>
          <w:t>Proned</w:t>
        </w:r>
        <w:proofErr w:type="spellEnd"/>
        <w:r w:rsidR="00560A03" w:rsidRPr="009037F9">
          <w:rPr>
            <w:rStyle w:val="Hyperlink"/>
            <w:rFonts w:ascii="Times New Roman" w:hAnsi="Times New Roman" w:cs="Times New Roman"/>
            <w:sz w:val="20"/>
            <w:szCs w:val="20"/>
            <w:u w:val="none"/>
          </w:rPr>
          <w:t xml:space="preserve"> for Acute Respiratory Distress Syndrome. </w:t>
        </w:r>
        <w:proofErr w:type="spellStart"/>
        <w:r w:rsidR="00560A03" w:rsidRPr="009037F9">
          <w:rPr>
            <w:rStyle w:val="Hyperlink"/>
            <w:rFonts w:ascii="Times New Roman" w:hAnsi="Times New Roman" w:cs="Times New Roman"/>
            <w:sz w:val="20"/>
            <w:szCs w:val="20"/>
            <w:u w:val="none"/>
          </w:rPr>
          <w:t>Adv</w:t>
        </w:r>
        <w:proofErr w:type="spellEnd"/>
        <w:r w:rsidR="00560A03" w:rsidRPr="009037F9">
          <w:rPr>
            <w:rStyle w:val="Hyperlink"/>
            <w:rFonts w:ascii="Times New Roman" w:hAnsi="Times New Roman" w:cs="Times New Roman"/>
            <w:sz w:val="20"/>
            <w:szCs w:val="20"/>
            <w:u w:val="none"/>
          </w:rPr>
          <w:t xml:space="preserve"> Skin Wound Care 35: 202-212.</w:t>
        </w:r>
      </w:hyperlink>
    </w:p>
    <w:p w:rsidR="001F56BC"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color w:val="212121"/>
          <w:sz w:val="20"/>
          <w:szCs w:val="20"/>
        </w:rPr>
      </w:pPr>
      <w:hyperlink r:id="rId23" w:history="1">
        <w:r w:rsidR="001F56BC" w:rsidRPr="009037F9">
          <w:rPr>
            <w:rStyle w:val="Hyperlink"/>
            <w:rFonts w:ascii="Times New Roman" w:hAnsi="Times New Roman" w:cs="Times New Roman"/>
            <w:sz w:val="20"/>
            <w:szCs w:val="20"/>
            <w:u w:val="none"/>
          </w:rPr>
          <w:t>Clinical Skills. Elsevier, I.</w:t>
        </w:r>
      </w:hyperlink>
    </w:p>
    <w:p w:rsidR="00197169"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24" w:history="1">
        <w:proofErr w:type="spellStart"/>
        <w:r w:rsidR="00C847A4" w:rsidRPr="009037F9">
          <w:rPr>
            <w:rStyle w:val="Hyperlink"/>
            <w:rFonts w:ascii="Times New Roman" w:hAnsi="Times New Roman" w:cs="Times New Roman"/>
            <w:sz w:val="20"/>
            <w:szCs w:val="20"/>
            <w:u w:val="none"/>
          </w:rPr>
          <w:t>Edsberg</w:t>
        </w:r>
        <w:proofErr w:type="spellEnd"/>
        <w:r w:rsidR="00C847A4" w:rsidRPr="009037F9">
          <w:rPr>
            <w:rStyle w:val="Hyperlink"/>
            <w:rFonts w:ascii="Times New Roman" w:hAnsi="Times New Roman" w:cs="Times New Roman"/>
            <w:sz w:val="20"/>
            <w:szCs w:val="20"/>
            <w:u w:val="none"/>
          </w:rPr>
          <w:t xml:space="preserve"> LE, Black JM, Goldberg M, et al. (2016) Revised National Pressure Ulcer Advisory Panel Pressure Injury Staging System: Revised Pressure Injury Staging System. J Wound Ostomy Continence </w:t>
        </w:r>
        <w:proofErr w:type="spellStart"/>
        <w:r w:rsidR="00C847A4" w:rsidRPr="009037F9">
          <w:rPr>
            <w:rStyle w:val="Hyperlink"/>
            <w:rFonts w:ascii="Times New Roman" w:hAnsi="Times New Roman" w:cs="Times New Roman"/>
            <w:sz w:val="20"/>
            <w:szCs w:val="20"/>
            <w:u w:val="none"/>
          </w:rPr>
          <w:t>Nurs</w:t>
        </w:r>
        <w:proofErr w:type="spellEnd"/>
        <w:r w:rsidR="00C847A4" w:rsidRPr="009037F9">
          <w:rPr>
            <w:rStyle w:val="Hyperlink"/>
            <w:rFonts w:ascii="Times New Roman" w:hAnsi="Times New Roman" w:cs="Times New Roman"/>
            <w:sz w:val="20"/>
            <w:szCs w:val="20"/>
            <w:u w:val="none"/>
          </w:rPr>
          <w:t xml:space="preserve"> 43: 585-597.</w:t>
        </w:r>
      </w:hyperlink>
    </w:p>
    <w:p w:rsidR="003B027B"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25" w:history="1">
        <w:proofErr w:type="spellStart"/>
        <w:r w:rsidR="008A2F51" w:rsidRPr="009037F9">
          <w:rPr>
            <w:rStyle w:val="Hyperlink"/>
            <w:rFonts w:ascii="Times New Roman" w:hAnsi="Times New Roman" w:cs="Times New Roman"/>
            <w:sz w:val="20"/>
            <w:szCs w:val="20"/>
            <w:u w:val="none"/>
          </w:rPr>
          <w:t>Alhazzani</w:t>
        </w:r>
        <w:proofErr w:type="spellEnd"/>
        <w:r w:rsidR="008A2F51" w:rsidRPr="009037F9">
          <w:rPr>
            <w:rStyle w:val="Hyperlink"/>
            <w:rFonts w:ascii="Times New Roman" w:hAnsi="Times New Roman" w:cs="Times New Roman"/>
            <w:sz w:val="20"/>
            <w:szCs w:val="20"/>
            <w:u w:val="none"/>
          </w:rPr>
          <w:t xml:space="preserve"> W, </w:t>
        </w:r>
        <w:proofErr w:type="spellStart"/>
        <w:r w:rsidR="008A2F51" w:rsidRPr="009037F9">
          <w:rPr>
            <w:rStyle w:val="Hyperlink"/>
            <w:rFonts w:ascii="Times New Roman" w:hAnsi="Times New Roman" w:cs="Times New Roman"/>
            <w:sz w:val="20"/>
            <w:szCs w:val="20"/>
            <w:u w:val="none"/>
          </w:rPr>
          <w:t>Møller</w:t>
        </w:r>
        <w:proofErr w:type="spellEnd"/>
        <w:r w:rsidR="008A2F51" w:rsidRPr="009037F9">
          <w:rPr>
            <w:rStyle w:val="Hyperlink"/>
            <w:rFonts w:ascii="Times New Roman" w:hAnsi="Times New Roman" w:cs="Times New Roman"/>
            <w:sz w:val="20"/>
            <w:szCs w:val="20"/>
            <w:u w:val="none"/>
          </w:rPr>
          <w:t xml:space="preserve"> MH, </w:t>
        </w:r>
        <w:proofErr w:type="spellStart"/>
        <w:r w:rsidR="008A2F51" w:rsidRPr="009037F9">
          <w:rPr>
            <w:rStyle w:val="Hyperlink"/>
            <w:rFonts w:ascii="Times New Roman" w:hAnsi="Times New Roman" w:cs="Times New Roman"/>
            <w:sz w:val="20"/>
            <w:szCs w:val="20"/>
            <w:u w:val="none"/>
          </w:rPr>
          <w:t>Arabi</w:t>
        </w:r>
        <w:proofErr w:type="spellEnd"/>
        <w:r w:rsidR="008A2F51" w:rsidRPr="009037F9">
          <w:rPr>
            <w:rStyle w:val="Hyperlink"/>
            <w:rFonts w:ascii="Times New Roman" w:hAnsi="Times New Roman" w:cs="Times New Roman"/>
            <w:sz w:val="20"/>
            <w:szCs w:val="20"/>
            <w:u w:val="none"/>
          </w:rPr>
          <w:t xml:space="preserve"> Y</w:t>
        </w:r>
        <w:r w:rsidR="001556F1" w:rsidRPr="009037F9">
          <w:rPr>
            <w:rStyle w:val="Hyperlink"/>
            <w:rFonts w:ascii="Times New Roman" w:hAnsi="Times New Roman" w:cs="Times New Roman"/>
            <w:sz w:val="20"/>
            <w:szCs w:val="20"/>
            <w:u w:val="none"/>
          </w:rPr>
          <w:t>M</w:t>
        </w:r>
        <w:r w:rsidR="008A2F51" w:rsidRPr="009037F9">
          <w:rPr>
            <w:rStyle w:val="Hyperlink"/>
            <w:rFonts w:ascii="Times New Roman" w:hAnsi="Times New Roman" w:cs="Times New Roman"/>
            <w:sz w:val="20"/>
            <w:szCs w:val="20"/>
            <w:u w:val="none"/>
          </w:rPr>
          <w:t xml:space="preserve">, </w:t>
        </w:r>
        <w:r w:rsidR="001556F1" w:rsidRPr="009037F9">
          <w:rPr>
            <w:rStyle w:val="Hyperlink"/>
            <w:rFonts w:ascii="Times New Roman" w:hAnsi="Times New Roman" w:cs="Times New Roman"/>
            <w:sz w:val="20"/>
            <w:szCs w:val="20"/>
            <w:u w:val="none"/>
          </w:rPr>
          <w:t>et al.</w:t>
        </w:r>
        <w:r w:rsidR="00681C19" w:rsidRPr="009037F9">
          <w:rPr>
            <w:rStyle w:val="Hyperlink"/>
            <w:rFonts w:ascii="Times New Roman" w:hAnsi="Times New Roman" w:cs="Times New Roman"/>
            <w:sz w:val="20"/>
            <w:szCs w:val="20"/>
            <w:u w:val="none"/>
          </w:rPr>
          <w:t xml:space="preserve"> (2020)</w:t>
        </w:r>
        <w:r w:rsidR="008A2F51" w:rsidRPr="009037F9">
          <w:rPr>
            <w:rStyle w:val="Hyperlink"/>
            <w:rFonts w:ascii="Times New Roman" w:hAnsi="Times New Roman" w:cs="Times New Roman"/>
            <w:sz w:val="20"/>
            <w:szCs w:val="20"/>
            <w:u w:val="none"/>
          </w:rPr>
          <w:t xml:space="preserve"> Surviving sepsis campaign: Guidelines on the management of critically ill adults with coronavirus disease 2019 (COVI</w:t>
        </w:r>
        <w:r w:rsidR="00DF200A" w:rsidRPr="009037F9">
          <w:rPr>
            <w:rStyle w:val="Hyperlink"/>
            <w:rFonts w:ascii="Times New Roman" w:hAnsi="Times New Roman" w:cs="Times New Roman"/>
            <w:sz w:val="20"/>
            <w:szCs w:val="20"/>
            <w:u w:val="none"/>
          </w:rPr>
          <w:t xml:space="preserve">D-19). Intensive Care Medicine </w:t>
        </w:r>
        <w:r w:rsidR="008A2F51" w:rsidRPr="009037F9">
          <w:rPr>
            <w:rStyle w:val="Hyperlink"/>
            <w:rFonts w:ascii="Times New Roman" w:hAnsi="Times New Roman" w:cs="Times New Roman"/>
            <w:sz w:val="20"/>
            <w:szCs w:val="20"/>
            <w:u w:val="none"/>
          </w:rPr>
          <w:t>1</w:t>
        </w:r>
        <w:r w:rsidR="00884983" w:rsidRPr="009037F9">
          <w:rPr>
            <w:rStyle w:val="Hyperlink"/>
            <w:rFonts w:ascii="Times New Roman" w:hAnsi="Times New Roman" w:cs="Times New Roman"/>
            <w:sz w:val="20"/>
            <w:szCs w:val="20"/>
            <w:u w:val="none"/>
          </w:rPr>
          <w:t>-</w:t>
        </w:r>
        <w:r w:rsidR="008A2F51" w:rsidRPr="009037F9">
          <w:rPr>
            <w:rStyle w:val="Hyperlink"/>
            <w:rFonts w:ascii="Times New Roman" w:hAnsi="Times New Roman" w:cs="Times New Roman"/>
            <w:sz w:val="20"/>
            <w:szCs w:val="20"/>
            <w:u w:val="none"/>
          </w:rPr>
          <w:t>34.</w:t>
        </w:r>
      </w:hyperlink>
    </w:p>
    <w:p w:rsidR="008A2F51"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26" w:history="1">
        <w:r w:rsidR="008A2F51" w:rsidRPr="009037F9">
          <w:rPr>
            <w:rStyle w:val="Hyperlink"/>
            <w:rFonts w:ascii="Times New Roman" w:hAnsi="Times New Roman" w:cs="Times New Roman"/>
            <w:sz w:val="20"/>
            <w:szCs w:val="20"/>
            <w:u w:val="none"/>
          </w:rPr>
          <w:t>A</w:t>
        </w:r>
        <w:r w:rsidR="00487686" w:rsidRPr="009037F9">
          <w:rPr>
            <w:rStyle w:val="Hyperlink"/>
            <w:rFonts w:ascii="Times New Roman" w:hAnsi="Times New Roman" w:cs="Times New Roman"/>
            <w:sz w:val="20"/>
            <w:szCs w:val="20"/>
            <w:u w:val="none"/>
          </w:rPr>
          <w:t>merican Thoracic Society (2020)</w:t>
        </w:r>
        <w:r w:rsidR="008A2F51" w:rsidRPr="009037F9">
          <w:rPr>
            <w:rStyle w:val="Hyperlink"/>
            <w:rFonts w:ascii="Times New Roman" w:hAnsi="Times New Roman" w:cs="Times New Roman"/>
            <w:sz w:val="20"/>
            <w:szCs w:val="20"/>
            <w:u w:val="none"/>
          </w:rPr>
          <w:t xml:space="preserve"> Diagnosis and management of COVID-19 disease. American Journal of Respira</w:t>
        </w:r>
        <w:r w:rsidR="00DD10CB" w:rsidRPr="009037F9">
          <w:rPr>
            <w:rStyle w:val="Hyperlink"/>
            <w:rFonts w:ascii="Times New Roman" w:hAnsi="Times New Roman" w:cs="Times New Roman"/>
            <w:sz w:val="20"/>
            <w:szCs w:val="20"/>
            <w:u w:val="none"/>
          </w:rPr>
          <w:t xml:space="preserve">tory and Critical Care Medicine 201: </w:t>
        </w:r>
        <w:r w:rsidR="008A2F51" w:rsidRPr="009037F9">
          <w:rPr>
            <w:rStyle w:val="Hyperlink"/>
            <w:rFonts w:ascii="Times New Roman" w:hAnsi="Times New Roman" w:cs="Times New Roman"/>
            <w:sz w:val="20"/>
            <w:szCs w:val="20"/>
            <w:u w:val="none"/>
          </w:rPr>
          <w:t>1</w:t>
        </w:r>
        <w:r w:rsidR="00884983" w:rsidRPr="009037F9">
          <w:rPr>
            <w:rStyle w:val="Hyperlink"/>
            <w:rFonts w:ascii="Times New Roman" w:hAnsi="Times New Roman" w:cs="Times New Roman"/>
            <w:sz w:val="20"/>
            <w:szCs w:val="20"/>
            <w:u w:val="none"/>
          </w:rPr>
          <w:t>-</w:t>
        </w:r>
        <w:r w:rsidR="008A2F51" w:rsidRPr="009037F9">
          <w:rPr>
            <w:rStyle w:val="Hyperlink"/>
            <w:rFonts w:ascii="Times New Roman" w:hAnsi="Times New Roman" w:cs="Times New Roman"/>
            <w:sz w:val="20"/>
            <w:szCs w:val="20"/>
            <w:u w:val="none"/>
          </w:rPr>
          <w:t>4.</w:t>
        </w:r>
      </w:hyperlink>
    </w:p>
    <w:p w:rsidR="000F47C9"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27" w:history="1">
        <w:r w:rsidR="000F47C9" w:rsidRPr="009037F9">
          <w:rPr>
            <w:rStyle w:val="Hyperlink"/>
            <w:rFonts w:ascii="Times New Roman" w:hAnsi="Times New Roman" w:cs="Times New Roman"/>
            <w:sz w:val="20"/>
            <w:szCs w:val="20"/>
            <w:u w:val="none"/>
          </w:rPr>
          <w:t xml:space="preserve">Mitchell DA, Seckel MA (2018) </w:t>
        </w:r>
        <w:proofErr w:type="gramStart"/>
        <w:r w:rsidR="000F47C9" w:rsidRPr="009037F9">
          <w:rPr>
            <w:rStyle w:val="Hyperlink"/>
            <w:rFonts w:ascii="Times New Roman" w:hAnsi="Times New Roman" w:cs="Times New Roman"/>
            <w:sz w:val="20"/>
            <w:szCs w:val="20"/>
            <w:u w:val="none"/>
          </w:rPr>
          <w:t>Acute</w:t>
        </w:r>
        <w:proofErr w:type="gramEnd"/>
        <w:r w:rsidR="000F47C9" w:rsidRPr="009037F9">
          <w:rPr>
            <w:rStyle w:val="Hyperlink"/>
            <w:rFonts w:ascii="Times New Roman" w:hAnsi="Times New Roman" w:cs="Times New Roman"/>
            <w:sz w:val="20"/>
            <w:szCs w:val="20"/>
            <w:u w:val="none"/>
          </w:rPr>
          <w:t xml:space="preserve"> respiratory distress syndrome and prone positioning. AACN Advanced Critical Care 29: 415-425.</w:t>
        </w:r>
      </w:hyperlink>
    </w:p>
    <w:p w:rsidR="000F47C9"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28" w:history="1">
        <w:proofErr w:type="spellStart"/>
        <w:r w:rsidR="00FD26C9" w:rsidRPr="009037F9">
          <w:rPr>
            <w:rStyle w:val="Hyperlink"/>
            <w:rFonts w:ascii="Times New Roman" w:hAnsi="Times New Roman" w:cs="Times New Roman"/>
            <w:sz w:val="20"/>
            <w:szCs w:val="20"/>
            <w:u w:val="none"/>
          </w:rPr>
          <w:t>Gu</w:t>
        </w:r>
        <w:r w:rsidR="00FD26C9" w:rsidRPr="009037F9">
          <w:rPr>
            <w:rStyle w:val="Hyperlink"/>
            <w:rFonts w:ascii="Times New Roman" w:hAnsi="Times New Roman" w:cs="Times New Roman"/>
            <w:color w:val="FF0000"/>
            <w:sz w:val="20"/>
            <w:szCs w:val="20"/>
            <w:u w:val="none"/>
          </w:rPr>
          <w:t>é</w:t>
        </w:r>
        <w:r w:rsidR="00FD26C9" w:rsidRPr="009037F9">
          <w:rPr>
            <w:rStyle w:val="Hyperlink"/>
            <w:rFonts w:ascii="Times New Roman" w:hAnsi="Times New Roman" w:cs="Times New Roman"/>
            <w:sz w:val="20"/>
            <w:szCs w:val="20"/>
            <w:u w:val="none"/>
          </w:rPr>
          <w:t>rin</w:t>
        </w:r>
        <w:proofErr w:type="spellEnd"/>
        <w:r w:rsidR="00FD26C9" w:rsidRPr="009037F9">
          <w:rPr>
            <w:rStyle w:val="Hyperlink"/>
            <w:rFonts w:ascii="Times New Roman" w:hAnsi="Times New Roman" w:cs="Times New Roman"/>
            <w:sz w:val="20"/>
            <w:szCs w:val="20"/>
            <w:u w:val="none"/>
          </w:rPr>
          <w:t xml:space="preserve"> C, </w:t>
        </w:r>
        <w:proofErr w:type="spellStart"/>
        <w:r w:rsidR="00FD26C9" w:rsidRPr="009037F9">
          <w:rPr>
            <w:rStyle w:val="Hyperlink"/>
            <w:rFonts w:ascii="Times New Roman" w:hAnsi="Times New Roman" w:cs="Times New Roman"/>
            <w:sz w:val="20"/>
            <w:szCs w:val="20"/>
            <w:u w:val="none"/>
          </w:rPr>
          <w:t>Reignier</w:t>
        </w:r>
        <w:proofErr w:type="spellEnd"/>
        <w:r w:rsidR="00FD26C9" w:rsidRPr="009037F9">
          <w:rPr>
            <w:rStyle w:val="Hyperlink"/>
            <w:rFonts w:ascii="Times New Roman" w:hAnsi="Times New Roman" w:cs="Times New Roman"/>
            <w:sz w:val="20"/>
            <w:szCs w:val="20"/>
            <w:u w:val="none"/>
          </w:rPr>
          <w:t xml:space="preserve"> J, Richard JC, et al. (2013) Prone positioning in severe acute respiratory distress syndrome. New England Journal of Medicine 368: 2159-2168.</w:t>
        </w:r>
      </w:hyperlink>
    </w:p>
    <w:p w:rsidR="005F2CBE"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29" w:history="1">
        <w:r w:rsidR="005F2CBE" w:rsidRPr="009037F9">
          <w:rPr>
            <w:rStyle w:val="Hyperlink"/>
            <w:rFonts w:ascii="Times New Roman" w:hAnsi="Times New Roman" w:cs="Times New Roman"/>
            <w:sz w:val="20"/>
            <w:szCs w:val="20"/>
            <w:u w:val="none"/>
          </w:rPr>
          <w:t>Ibarra G, Rivera A, Fernandez-</w:t>
        </w:r>
        <w:proofErr w:type="spellStart"/>
        <w:r w:rsidR="005F2CBE" w:rsidRPr="009037F9">
          <w:rPr>
            <w:rStyle w:val="Hyperlink"/>
            <w:rFonts w:ascii="Times New Roman" w:hAnsi="Times New Roman" w:cs="Times New Roman"/>
            <w:sz w:val="20"/>
            <w:szCs w:val="20"/>
            <w:u w:val="none"/>
          </w:rPr>
          <w:t>Ibarburu</w:t>
        </w:r>
        <w:proofErr w:type="spellEnd"/>
        <w:r w:rsidR="005F2CBE" w:rsidRPr="009037F9">
          <w:rPr>
            <w:rStyle w:val="Hyperlink"/>
            <w:rFonts w:ascii="Times New Roman" w:hAnsi="Times New Roman" w:cs="Times New Roman"/>
            <w:sz w:val="20"/>
            <w:szCs w:val="20"/>
            <w:u w:val="none"/>
          </w:rPr>
          <w:t xml:space="preserve"> B, et al. (2021) </w:t>
        </w:r>
        <w:proofErr w:type="gramStart"/>
        <w:r w:rsidR="005F2CBE" w:rsidRPr="009037F9">
          <w:rPr>
            <w:rStyle w:val="Hyperlink"/>
            <w:rFonts w:ascii="Times New Roman" w:hAnsi="Times New Roman" w:cs="Times New Roman"/>
            <w:sz w:val="20"/>
            <w:szCs w:val="20"/>
            <w:u w:val="none"/>
          </w:rPr>
          <w:t>Prone</w:t>
        </w:r>
        <w:proofErr w:type="gramEnd"/>
        <w:r w:rsidR="005F2CBE" w:rsidRPr="009037F9">
          <w:rPr>
            <w:rStyle w:val="Hyperlink"/>
            <w:rFonts w:ascii="Times New Roman" w:hAnsi="Times New Roman" w:cs="Times New Roman"/>
            <w:sz w:val="20"/>
            <w:szCs w:val="20"/>
            <w:u w:val="none"/>
          </w:rPr>
          <w:t xml:space="preserve"> position pressure sores in the COVID-19 pandemic: The Madrid experience. J </w:t>
        </w:r>
        <w:proofErr w:type="spellStart"/>
        <w:r w:rsidR="005F2CBE" w:rsidRPr="009037F9">
          <w:rPr>
            <w:rStyle w:val="Hyperlink"/>
            <w:rFonts w:ascii="Times New Roman" w:hAnsi="Times New Roman" w:cs="Times New Roman"/>
            <w:sz w:val="20"/>
            <w:szCs w:val="20"/>
            <w:u w:val="none"/>
          </w:rPr>
          <w:t>Plast</w:t>
        </w:r>
        <w:proofErr w:type="spellEnd"/>
        <w:r w:rsidR="005F2CBE" w:rsidRPr="009037F9">
          <w:rPr>
            <w:rStyle w:val="Hyperlink"/>
            <w:rFonts w:ascii="Times New Roman" w:hAnsi="Times New Roman" w:cs="Times New Roman"/>
            <w:sz w:val="20"/>
            <w:szCs w:val="20"/>
            <w:u w:val="none"/>
          </w:rPr>
          <w:t xml:space="preserve"> </w:t>
        </w:r>
        <w:proofErr w:type="spellStart"/>
        <w:r w:rsidR="005F2CBE" w:rsidRPr="009037F9">
          <w:rPr>
            <w:rStyle w:val="Hyperlink"/>
            <w:rFonts w:ascii="Times New Roman" w:hAnsi="Times New Roman" w:cs="Times New Roman"/>
            <w:sz w:val="20"/>
            <w:szCs w:val="20"/>
            <w:u w:val="none"/>
          </w:rPr>
          <w:t>Reconstr</w:t>
        </w:r>
        <w:proofErr w:type="spellEnd"/>
        <w:r w:rsidR="005F2CBE" w:rsidRPr="009037F9">
          <w:rPr>
            <w:rStyle w:val="Hyperlink"/>
            <w:rFonts w:ascii="Times New Roman" w:hAnsi="Times New Roman" w:cs="Times New Roman"/>
            <w:sz w:val="20"/>
            <w:szCs w:val="20"/>
            <w:u w:val="none"/>
          </w:rPr>
          <w:t xml:space="preserve"> </w:t>
        </w:r>
        <w:proofErr w:type="spellStart"/>
        <w:r w:rsidR="005F2CBE" w:rsidRPr="009037F9">
          <w:rPr>
            <w:rStyle w:val="Hyperlink"/>
            <w:rFonts w:ascii="Times New Roman" w:hAnsi="Times New Roman" w:cs="Times New Roman"/>
            <w:sz w:val="20"/>
            <w:szCs w:val="20"/>
            <w:u w:val="none"/>
          </w:rPr>
          <w:t>Aesthet</w:t>
        </w:r>
        <w:proofErr w:type="spellEnd"/>
        <w:r w:rsidR="005F2CBE" w:rsidRPr="009037F9">
          <w:rPr>
            <w:rStyle w:val="Hyperlink"/>
            <w:rFonts w:ascii="Times New Roman" w:hAnsi="Times New Roman" w:cs="Times New Roman"/>
            <w:sz w:val="20"/>
            <w:szCs w:val="20"/>
            <w:u w:val="none"/>
          </w:rPr>
          <w:t xml:space="preserve"> </w:t>
        </w:r>
        <w:proofErr w:type="spellStart"/>
        <w:r w:rsidR="005F2CBE" w:rsidRPr="009037F9">
          <w:rPr>
            <w:rStyle w:val="Hyperlink"/>
            <w:rFonts w:ascii="Times New Roman" w:hAnsi="Times New Roman" w:cs="Times New Roman"/>
            <w:sz w:val="20"/>
            <w:szCs w:val="20"/>
            <w:u w:val="none"/>
          </w:rPr>
          <w:t>Surg</w:t>
        </w:r>
        <w:proofErr w:type="spellEnd"/>
        <w:r w:rsidR="005F2CBE" w:rsidRPr="009037F9">
          <w:rPr>
            <w:rStyle w:val="Hyperlink"/>
            <w:rFonts w:ascii="Times New Roman" w:hAnsi="Times New Roman" w:cs="Times New Roman"/>
            <w:sz w:val="20"/>
            <w:szCs w:val="20"/>
            <w:u w:val="none"/>
          </w:rPr>
          <w:t xml:space="preserve"> 74: 2141-2148.</w:t>
        </w:r>
      </w:hyperlink>
    </w:p>
    <w:p w:rsidR="004C0C6F"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0" w:history="1">
        <w:r w:rsidR="004C0C6F" w:rsidRPr="009037F9">
          <w:rPr>
            <w:rStyle w:val="Hyperlink"/>
            <w:rFonts w:ascii="Times New Roman" w:hAnsi="Times New Roman" w:cs="Times New Roman"/>
            <w:sz w:val="20"/>
            <w:szCs w:val="20"/>
            <w:u w:val="none"/>
          </w:rPr>
          <w:t xml:space="preserve">Cotton S, </w:t>
        </w:r>
        <w:proofErr w:type="spellStart"/>
        <w:r w:rsidR="004C0C6F" w:rsidRPr="009037F9">
          <w:rPr>
            <w:rStyle w:val="Hyperlink"/>
            <w:rFonts w:ascii="Times New Roman" w:hAnsi="Times New Roman" w:cs="Times New Roman"/>
            <w:sz w:val="20"/>
            <w:szCs w:val="20"/>
            <w:u w:val="none"/>
          </w:rPr>
          <w:t>Zawaydeh</w:t>
        </w:r>
        <w:proofErr w:type="spellEnd"/>
        <w:r w:rsidR="004C0C6F" w:rsidRPr="009037F9">
          <w:rPr>
            <w:rStyle w:val="Hyperlink"/>
            <w:rFonts w:ascii="Times New Roman" w:hAnsi="Times New Roman" w:cs="Times New Roman"/>
            <w:sz w:val="20"/>
            <w:szCs w:val="20"/>
            <w:u w:val="none"/>
          </w:rPr>
          <w:t xml:space="preserve"> Q, LeBlanc S, et al. (2020) </w:t>
        </w:r>
        <w:proofErr w:type="spellStart"/>
        <w:r w:rsidR="004C0C6F" w:rsidRPr="009037F9">
          <w:rPr>
            <w:rStyle w:val="Hyperlink"/>
            <w:rFonts w:ascii="Times New Roman" w:hAnsi="Times New Roman" w:cs="Times New Roman"/>
            <w:sz w:val="20"/>
            <w:szCs w:val="20"/>
            <w:u w:val="none"/>
          </w:rPr>
          <w:t>Proning</w:t>
        </w:r>
        <w:proofErr w:type="spellEnd"/>
        <w:r w:rsidR="004C0C6F" w:rsidRPr="009037F9">
          <w:rPr>
            <w:rStyle w:val="Hyperlink"/>
            <w:rFonts w:ascii="Times New Roman" w:hAnsi="Times New Roman" w:cs="Times New Roman"/>
            <w:sz w:val="20"/>
            <w:szCs w:val="20"/>
            <w:u w:val="none"/>
          </w:rPr>
          <w:t xml:space="preserve"> during COVID-19: challenges &amp; solutions. Heart &amp; Lung 49: 686-687.</w:t>
        </w:r>
      </w:hyperlink>
    </w:p>
    <w:p w:rsidR="004C0C6F"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1" w:history="1">
        <w:r w:rsidR="00F105A3" w:rsidRPr="009037F9">
          <w:rPr>
            <w:rStyle w:val="Hyperlink"/>
            <w:rFonts w:ascii="Times New Roman" w:hAnsi="Times New Roman" w:cs="Times New Roman"/>
            <w:sz w:val="20"/>
            <w:szCs w:val="20"/>
            <w:u w:val="none"/>
          </w:rPr>
          <w:t xml:space="preserve">Peko L, </w:t>
        </w:r>
        <w:proofErr w:type="spellStart"/>
        <w:r w:rsidR="00F105A3" w:rsidRPr="009037F9">
          <w:rPr>
            <w:rStyle w:val="Hyperlink"/>
            <w:rFonts w:ascii="Times New Roman" w:hAnsi="Times New Roman" w:cs="Times New Roman"/>
            <w:sz w:val="20"/>
            <w:szCs w:val="20"/>
            <w:u w:val="none"/>
          </w:rPr>
          <w:t>Barakat</w:t>
        </w:r>
        <w:proofErr w:type="spellEnd"/>
        <w:r w:rsidR="00F105A3" w:rsidRPr="009037F9">
          <w:rPr>
            <w:rStyle w:val="Hyperlink"/>
            <w:rFonts w:ascii="Times New Roman" w:hAnsi="Times New Roman" w:cs="Times New Roman"/>
            <w:sz w:val="20"/>
            <w:szCs w:val="20"/>
            <w:u w:val="none"/>
          </w:rPr>
          <w:t xml:space="preserve">-Johnson M, </w:t>
        </w:r>
        <w:proofErr w:type="spellStart"/>
        <w:r w:rsidR="00F105A3" w:rsidRPr="009037F9">
          <w:rPr>
            <w:rStyle w:val="Hyperlink"/>
            <w:rFonts w:ascii="Times New Roman" w:hAnsi="Times New Roman" w:cs="Times New Roman"/>
            <w:sz w:val="20"/>
            <w:szCs w:val="20"/>
            <w:u w:val="none"/>
          </w:rPr>
          <w:t>Gefen</w:t>
        </w:r>
        <w:proofErr w:type="spellEnd"/>
        <w:r w:rsidR="00F105A3" w:rsidRPr="009037F9">
          <w:rPr>
            <w:rStyle w:val="Hyperlink"/>
            <w:rFonts w:ascii="Times New Roman" w:hAnsi="Times New Roman" w:cs="Times New Roman"/>
            <w:sz w:val="20"/>
            <w:szCs w:val="20"/>
            <w:u w:val="none"/>
          </w:rPr>
          <w:t xml:space="preserve"> A (2020) Protecting prone positioned patients from facial pressure ulcers using prophylactic dressings: A timely biomechanical analysis in the context of the COVID-19 pandemic. </w:t>
        </w:r>
        <w:proofErr w:type="spellStart"/>
        <w:r w:rsidR="00F105A3" w:rsidRPr="009037F9">
          <w:rPr>
            <w:rStyle w:val="Hyperlink"/>
            <w:rFonts w:ascii="Times New Roman" w:hAnsi="Times New Roman" w:cs="Times New Roman"/>
            <w:sz w:val="20"/>
            <w:szCs w:val="20"/>
            <w:u w:val="none"/>
          </w:rPr>
          <w:t>Int</w:t>
        </w:r>
        <w:proofErr w:type="spellEnd"/>
        <w:r w:rsidR="00F105A3" w:rsidRPr="009037F9">
          <w:rPr>
            <w:rStyle w:val="Hyperlink"/>
            <w:rFonts w:ascii="Times New Roman" w:hAnsi="Times New Roman" w:cs="Times New Roman"/>
            <w:sz w:val="20"/>
            <w:szCs w:val="20"/>
            <w:u w:val="none"/>
          </w:rPr>
          <w:t xml:space="preserve"> Wound J 17: 1595-1606.</w:t>
        </w:r>
      </w:hyperlink>
    </w:p>
    <w:p w:rsidR="003E28C0"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2" w:history="1">
        <w:r w:rsidR="009B533C" w:rsidRPr="009037F9">
          <w:rPr>
            <w:rStyle w:val="Hyperlink"/>
            <w:rFonts w:ascii="Times New Roman" w:hAnsi="Times New Roman" w:cs="Times New Roman"/>
            <w:sz w:val="20"/>
            <w:szCs w:val="20"/>
            <w:u w:val="none"/>
          </w:rPr>
          <w:t xml:space="preserve">Cox J, </w:t>
        </w:r>
        <w:proofErr w:type="spellStart"/>
        <w:r w:rsidR="009B533C" w:rsidRPr="009037F9">
          <w:rPr>
            <w:rStyle w:val="Hyperlink"/>
            <w:rFonts w:ascii="Times New Roman" w:hAnsi="Times New Roman" w:cs="Times New Roman"/>
            <w:sz w:val="20"/>
            <w:szCs w:val="20"/>
            <w:u w:val="none"/>
          </w:rPr>
          <w:t>Schallom</w:t>
        </w:r>
        <w:proofErr w:type="spellEnd"/>
        <w:r w:rsidR="009B533C" w:rsidRPr="009037F9">
          <w:rPr>
            <w:rStyle w:val="Hyperlink"/>
            <w:rFonts w:ascii="Times New Roman" w:hAnsi="Times New Roman" w:cs="Times New Roman"/>
            <w:sz w:val="20"/>
            <w:szCs w:val="20"/>
            <w:u w:val="none"/>
          </w:rPr>
          <w:t xml:space="preserve"> M, Jung C (2020) Identifying Risk Factors for Pressure Injury in Adult Critical Care Patients. Am J </w:t>
        </w:r>
        <w:proofErr w:type="spellStart"/>
        <w:r w:rsidR="009B533C" w:rsidRPr="009037F9">
          <w:rPr>
            <w:rStyle w:val="Hyperlink"/>
            <w:rFonts w:ascii="Times New Roman" w:hAnsi="Times New Roman" w:cs="Times New Roman"/>
            <w:sz w:val="20"/>
            <w:szCs w:val="20"/>
            <w:u w:val="none"/>
          </w:rPr>
          <w:t>Crit</w:t>
        </w:r>
        <w:proofErr w:type="spellEnd"/>
        <w:r w:rsidR="009B533C" w:rsidRPr="009037F9">
          <w:rPr>
            <w:rStyle w:val="Hyperlink"/>
            <w:rFonts w:ascii="Times New Roman" w:hAnsi="Times New Roman" w:cs="Times New Roman"/>
            <w:sz w:val="20"/>
            <w:szCs w:val="20"/>
            <w:u w:val="none"/>
          </w:rPr>
          <w:t xml:space="preserve"> Care 29: 204-</w:t>
        </w:r>
        <w:proofErr w:type="gramStart"/>
        <w:r w:rsidR="009B533C" w:rsidRPr="009037F9">
          <w:rPr>
            <w:rStyle w:val="Hyperlink"/>
            <w:rFonts w:ascii="Times New Roman" w:hAnsi="Times New Roman" w:cs="Times New Roman"/>
            <w:sz w:val="20"/>
            <w:szCs w:val="20"/>
            <w:u w:val="none"/>
          </w:rPr>
          <w:t>213.</w:t>
        </w:r>
        <w:proofErr w:type="gramEnd"/>
      </w:hyperlink>
    </w:p>
    <w:p w:rsidR="008627B7"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3" w:history="1">
        <w:r w:rsidR="00C7640F" w:rsidRPr="009037F9">
          <w:rPr>
            <w:rStyle w:val="Hyperlink"/>
            <w:rFonts w:ascii="Times New Roman" w:hAnsi="Times New Roman" w:cs="Times New Roman"/>
            <w:sz w:val="20"/>
            <w:szCs w:val="20"/>
            <w:u w:val="none"/>
          </w:rPr>
          <w:t>Black J</w:t>
        </w:r>
        <w:r w:rsidR="008A2F51" w:rsidRPr="009037F9">
          <w:rPr>
            <w:rStyle w:val="Hyperlink"/>
            <w:rFonts w:ascii="Times New Roman" w:hAnsi="Times New Roman" w:cs="Times New Roman"/>
            <w:sz w:val="20"/>
            <w:szCs w:val="20"/>
            <w:u w:val="none"/>
          </w:rPr>
          <w:t>M</w:t>
        </w:r>
        <w:r w:rsidR="00C7640F" w:rsidRPr="009037F9">
          <w:rPr>
            <w:rStyle w:val="Hyperlink"/>
            <w:rFonts w:ascii="Times New Roman" w:hAnsi="Times New Roman" w:cs="Times New Roman"/>
            <w:sz w:val="20"/>
            <w:szCs w:val="20"/>
            <w:u w:val="none"/>
          </w:rPr>
          <w:t xml:space="preserve">, </w:t>
        </w:r>
        <w:proofErr w:type="spellStart"/>
        <w:r w:rsidR="008A2F51" w:rsidRPr="009037F9">
          <w:rPr>
            <w:rStyle w:val="Hyperlink"/>
            <w:rFonts w:ascii="Times New Roman" w:hAnsi="Times New Roman" w:cs="Times New Roman"/>
            <w:sz w:val="20"/>
            <w:szCs w:val="20"/>
            <w:u w:val="none"/>
          </w:rPr>
          <w:t>Berke</w:t>
        </w:r>
        <w:proofErr w:type="spellEnd"/>
        <w:r w:rsidR="008A2F51" w:rsidRPr="009037F9">
          <w:rPr>
            <w:rStyle w:val="Hyperlink"/>
            <w:rFonts w:ascii="Times New Roman" w:hAnsi="Times New Roman" w:cs="Times New Roman"/>
            <w:sz w:val="20"/>
            <w:szCs w:val="20"/>
            <w:u w:val="none"/>
          </w:rPr>
          <w:t xml:space="preserve"> CT</w:t>
        </w:r>
        <w:r w:rsidR="00C7640F" w:rsidRPr="009037F9">
          <w:rPr>
            <w:rStyle w:val="Hyperlink"/>
            <w:rFonts w:ascii="Times New Roman" w:hAnsi="Times New Roman" w:cs="Times New Roman"/>
            <w:sz w:val="20"/>
            <w:szCs w:val="20"/>
            <w:u w:val="none"/>
          </w:rPr>
          <w:t xml:space="preserve"> (2020)</w:t>
        </w:r>
        <w:r w:rsidR="008A2F51" w:rsidRPr="009037F9">
          <w:rPr>
            <w:rStyle w:val="Hyperlink"/>
            <w:rFonts w:ascii="Times New Roman" w:hAnsi="Times New Roman" w:cs="Times New Roman"/>
            <w:sz w:val="20"/>
            <w:szCs w:val="20"/>
            <w:u w:val="none"/>
          </w:rPr>
          <w:t xml:space="preserve"> Deep Tissue Pressure Injuries: Identification, Treatment, and Outcomes </w:t>
        </w:r>
        <w:proofErr w:type="gramStart"/>
        <w:r w:rsidR="008A2F51" w:rsidRPr="009037F9">
          <w:rPr>
            <w:rStyle w:val="Hyperlink"/>
            <w:rFonts w:ascii="Times New Roman" w:hAnsi="Times New Roman" w:cs="Times New Roman"/>
            <w:sz w:val="20"/>
            <w:szCs w:val="20"/>
            <w:u w:val="none"/>
          </w:rPr>
          <w:t>Among</w:t>
        </w:r>
        <w:proofErr w:type="gramEnd"/>
        <w:r w:rsidR="008A2F51" w:rsidRPr="009037F9">
          <w:rPr>
            <w:rStyle w:val="Hyperlink"/>
            <w:rFonts w:ascii="Times New Roman" w:hAnsi="Times New Roman" w:cs="Times New Roman"/>
            <w:sz w:val="20"/>
            <w:szCs w:val="20"/>
            <w:u w:val="none"/>
          </w:rPr>
          <w:t xml:space="preserve"> Critical Care Patients. </w:t>
        </w:r>
        <w:proofErr w:type="spellStart"/>
        <w:r w:rsidR="008A2F51" w:rsidRPr="009037F9">
          <w:rPr>
            <w:rStyle w:val="Hyperlink"/>
            <w:rFonts w:ascii="Times New Roman" w:hAnsi="Times New Roman" w:cs="Times New Roman"/>
            <w:sz w:val="20"/>
            <w:szCs w:val="20"/>
            <w:u w:val="none"/>
          </w:rPr>
          <w:t>Crit</w:t>
        </w:r>
        <w:proofErr w:type="spellEnd"/>
        <w:r w:rsidR="008A2F51" w:rsidRPr="009037F9">
          <w:rPr>
            <w:rStyle w:val="Hyperlink"/>
            <w:rFonts w:ascii="Times New Roman" w:hAnsi="Times New Roman" w:cs="Times New Roman"/>
            <w:sz w:val="20"/>
            <w:szCs w:val="20"/>
            <w:u w:val="none"/>
          </w:rPr>
          <w:t xml:space="preserve"> Care </w:t>
        </w:r>
        <w:proofErr w:type="spellStart"/>
        <w:r w:rsidR="008A2F51" w:rsidRPr="009037F9">
          <w:rPr>
            <w:rStyle w:val="Hyperlink"/>
            <w:rFonts w:ascii="Times New Roman" w:hAnsi="Times New Roman" w:cs="Times New Roman"/>
            <w:sz w:val="20"/>
            <w:szCs w:val="20"/>
            <w:u w:val="none"/>
          </w:rPr>
          <w:t>Nurs</w:t>
        </w:r>
        <w:proofErr w:type="spellEnd"/>
        <w:r w:rsidR="00C7640F" w:rsidRPr="009037F9">
          <w:rPr>
            <w:rStyle w:val="Hyperlink"/>
            <w:rFonts w:ascii="Times New Roman" w:hAnsi="Times New Roman" w:cs="Times New Roman"/>
            <w:sz w:val="20"/>
            <w:szCs w:val="20"/>
            <w:u w:val="none"/>
          </w:rPr>
          <w:t xml:space="preserve"> </w:t>
        </w:r>
        <w:proofErr w:type="spellStart"/>
        <w:r w:rsidR="00C7640F" w:rsidRPr="009037F9">
          <w:rPr>
            <w:rStyle w:val="Hyperlink"/>
            <w:rFonts w:ascii="Times New Roman" w:hAnsi="Times New Roman" w:cs="Times New Roman"/>
            <w:sz w:val="20"/>
            <w:szCs w:val="20"/>
            <w:u w:val="none"/>
          </w:rPr>
          <w:t>Clin</w:t>
        </w:r>
        <w:proofErr w:type="spellEnd"/>
        <w:r w:rsidR="00C7640F" w:rsidRPr="009037F9">
          <w:rPr>
            <w:rStyle w:val="Hyperlink"/>
            <w:rFonts w:ascii="Times New Roman" w:hAnsi="Times New Roman" w:cs="Times New Roman"/>
            <w:sz w:val="20"/>
            <w:szCs w:val="20"/>
            <w:u w:val="none"/>
          </w:rPr>
          <w:t xml:space="preserve"> North Am 32:</w:t>
        </w:r>
        <w:r w:rsidR="004F2902" w:rsidRPr="009037F9">
          <w:rPr>
            <w:rStyle w:val="Hyperlink"/>
            <w:rFonts w:ascii="Times New Roman" w:hAnsi="Times New Roman" w:cs="Times New Roman"/>
            <w:sz w:val="20"/>
            <w:szCs w:val="20"/>
            <w:u w:val="none"/>
          </w:rPr>
          <w:t xml:space="preserve"> 563-572.</w:t>
        </w:r>
      </w:hyperlink>
    </w:p>
    <w:p w:rsidR="005950F2"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4" w:history="1">
        <w:r w:rsidR="008A2F51" w:rsidRPr="009037F9">
          <w:rPr>
            <w:rStyle w:val="Hyperlink"/>
            <w:rFonts w:ascii="Times New Roman" w:hAnsi="Times New Roman" w:cs="Times New Roman"/>
            <w:sz w:val="20"/>
            <w:szCs w:val="20"/>
            <w:u w:val="none"/>
          </w:rPr>
          <w:t>Cox J</w:t>
        </w:r>
        <w:r w:rsidR="009C4838" w:rsidRPr="009037F9">
          <w:rPr>
            <w:rStyle w:val="Hyperlink"/>
            <w:rFonts w:ascii="Times New Roman" w:hAnsi="Times New Roman" w:cs="Times New Roman"/>
            <w:sz w:val="20"/>
            <w:szCs w:val="20"/>
            <w:u w:val="none"/>
          </w:rPr>
          <w:t xml:space="preserve"> (2017)</w:t>
        </w:r>
        <w:r w:rsidR="008A2F51" w:rsidRPr="009037F9">
          <w:rPr>
            <w:rStyle w:val="Hyperlink"/>
            <w:rFonts w:ascii="Times New Roman" w:hAnsi="Times New Roman" w:cs="Times New Roman"/>
            <w:sz w:val="20"/>
            <w:szCs w:val="20"/>
            <w:u w:val="none"/>
          </w:rPr>
          <w:t xml:space="preserve"> Pressure Injury Risk Factors in Adult Critical Care Patients: A Review of the Literatu</w:t>
        </w:r>
        <w:r w:rsidR="000D5DFD" w:rsidRPr="009037F9">
          <w:rPr>
            <w:rStyle w:val="Hyperlink"/>
            <w:rFonts w:ascii="Times New Roman" w:hAnsi="Times New Roman" w:cs="Times New Roman"/>
            <w:sz w:val="20"/>
            <w:szCs w:val="20"/>
            <w:u w:val="none"/>
          </w:rPr>
          <w:t>re. Ostomy Wound Manage 63:</w:t>
        </w:r>
        <w:r w:rsidR="008A2F51" w:rsidRPr="009037F9">
          <w:rPr>
            <w:rStyle w:val="Hyperlink"/>
            <w:rFonts w:ascii="Times New Roman" w:hAnsi="Times New Roman" w:cs="Times New Roman"/>
            <w:sz w:val="20"/>
            <w:szCs w:val="20"/>
            <w:u w:val="none"/>
          </w:rPr>
          <w:t xml:space="preserve"> 30-43.</w:t>
        </w:r>
      </w:hyperlink>
    </w:p>
    <w:p w:rsidR="008A2F51"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5" w:history="1">
        <w:proofErr w:type="spellStart"/>
        <w:r w:rsidR="00B32D1B" w:rsidRPr="009037F9">
          <w:rPr>
            <w:rStyle w:val="Hyperlink"/>
            <w:rFonts w:ascii="Times New Roman" w:hAnsi="Times New Roman" w:cs="Times New Roman"/>
            <w:sz w:val="20"/>
            <w:szCs w:val="20"/>
            <w:u w:val="none"/>
          </w:rPr>
          <w:t>Edsberg</w:t>
        </w:r>
        <w:proofErr w:type="spellEnd"/>
        <w:r w:rsidR="00B32D1B" w:rsidRPr="009037F9">
          <w:rPr>
            <w:rStyle w:val="Hyperlink"/>
            <w:rFonts w:ascii="Times New Roman" w:hAnsi="Times New Roman" w:cs="Times New Roman"/>
            <w:sz w:val="20"/>
            <w:szCs w:val="20"/>
            <w:u w:val="none"/>
          </w:rPr>
          <w:t xml:space="preserve"> </w:t>
        </w:r>
        <w:r w:rsidR="008A2F51" w:rsidRPr="009037F9">
          <w:rPr>
            <w:rStyle w:val="Hyperlink"/>
            <w:rFonts w:ascii="Times New Roman" w:hAnsi="Times New Roman" w:cs="Times New Roman"/>
            <w:sz w:val="20"/>
            <w:szCs w:val="20"/>
            <w:u w:val="none"/>
          </w:rPr>
          <w:t>LE</w:t>
        </w:r>
        <w:r w:rsidR="00B32D1B" w:rsidRPr="009037F9">
          <w:rPr>
            <w:rStyle w:val="Hyperlink"/>
            <w:rFonts w:ascii="Times New Roman" w:hAnsi="Times New Roman" w:cs="Times New Roman"/>
            <w:sz w:val="20"/>
            <w:szCs w:val="20"/>
            <w:u w:val="none"/>
          </w:rPr>
          <w:t xml:space="preserve">, </w:t>
        </w:r>
        <w:proofErr w:type="spellStart"/>
        <w:r w:rsidR="00B32D1B" w:rsidRPr="009037F9">
          <w:rPr>
            <w:rStyle w:val="Hyperlink"/>
            <w:rFonts w:ascii="Times New Roman" w:hAnsi="Times New Roman" w:cs="Times New Roman"/>
            <w:sz w:val="20"/>
            <w:szCs w:val="20"/>
            <w:u w:val="none"/>
          </w:rPr>
          <w:t>Langemo</w:t>
        </w:r>
        <w:proofErr w:type="spellEnd"/>
        <w:r w:rsidR="008A2F51" w:rsidRPr="009037F9">
          <w:rPr>
            <w:rStyle w:val="Hyperlink"/>
            <w:rFonts w:ascii="Times New Roman" w:hAnsi="Times New Roman" w:cs="Times New Roman"/>
            <w:sz w:val="20"/>
            <w:szCs w:val="20"/>
            <w:u w:val="none"/>
          </w:rPr>
          <w:t xml:space="preserve"> D</w:t>
        </w:r>
        <w:r w:rsidR="00B32D1B" w:rsidRPr="009037F9">
          <w:rPr>
            <w:rStyle w:val="Hyperlink"/>
            <w:rFonts w:ascii="Times New Roman" w:hAnsi="Times New Roman" w:cs="Times New Roman"/>
            <w:sz w:val="20"/>
            <w:szCs w:val="20"/>
            <w:u w:val="none"/>
          </w:rPr>
          <w:t xml:space="preserve">, </w:t>
        </w:r>
        <w:proofErr w:type="spellStart"/>
        <w:r w:rsidR="00B32D1B" w:rsidRPr="009037F9">
          <w:rPr>
            <w:rStyle w:val="Hyperlink"/>
            <w:rFonts w:ascii="Times New Roman" w:hAnsi="Times New Roman" w:cs="Times New Roman"/>
            <w:sz w:val="20"/>
            <w:szCs w:val="20"/>
            <w:u w:val="none"/>
          </w:rPr>
          <w:t>Baharestani</w:t>
        </w:r>
        <w:proofErr w:type="spellEnd"/>
        <w:r w:rsidR="008A2F51" w:rsidRPr="009037F9">
          <w:rPr>
            <w:rStyle w:val="Hyperlink"/>
            <w:rFonts w:ascii="Times New Roman" w:hAnsi="Times New Roman" w:cs="Times New Roman"/>
            <w:sz w:val="20"/>
            <w:szCs w:val="20"/>
            <w:u w:val="none"/>
          </w:rPr>
          <w:t xml:space="preserve"> MM, </w:t>
        </w:r>
        <w:r w:rsidR="00B32D1B" w:rsidRPr="009037F9">
          <w:rPr>
            <w:rStyle w:val="Hyperlink"/>
            <w:rFonts w:ascii="Times New Roman" w:hAnsi="Times New Roman" w:cs="Times New Roman"/>
            <w:sz w:val="20"/>
            <w:szCs w:val="20"/>
            <w:u w:val="none"/>
          </w:rPr>
          <w:t>et al</w:t>
        </w:r>
        <w:r w:rsidR="008A2F51" w:rsidRPr="009037F9">
          <w:rPr>
            <w:rStyle w:val="Hyperlink"/>
            <w:rFonts w:ascii="Times New Roman" w:hAnsi="Times New Roman" w:cs="Times New Roman"/>
            <w:sz w:val="20"/>
            <w:szCs w:val="20"/>
            <w:u w:val="none"/>
          </w:rPr>
          <w:t>. (20</w:t>
        </w:r>
        <w:r w:rsidR="0024649C" w:rsidRPr="009037F9">
          <w:rPr>
            <w:rStyle w:val="Hyperlink"/>
            <w:rFonts w:ascii="Times New Roman" w:hAnsi="Times New Roman" w:cs="Times New Roman"/>
            <w:sz w:val="20"/>
            <w:szCs w:val="20"/>
            <w:u w:val="none"/>
          </w:rPr>
          <w:t>14)</w:t>
        </w:r>
        <w:r w:rsidR="008A2F51" w:rsidRPr="009037F9">
          <w:rPr>
            <w:rStyle w:val="Hyperlink"/>
            <w:rFonts w:ascii="Times New Roman" w:hAnsi="Times New Roman" w:cs="Times New Roman"/>
            <w:sz w:val="20"/>
            <w:szCs w:val="20"/>
            <w:u w:val="none"/>
          </w:rPr>
          <w:t xml:space="preserve"> Unavoidable pressure injury: state of the science and consensus outcomes. J Wound Ostomy </w:t>
        </w:r>
        <w:r w:rsidR="00F91E1A" w:rsidRPr="009037F9">
          <w:rPr>
            <w:rStyle w:val="Hyperlink"/>
            <w:rFonts w:ascii="Times New Roman" w:hAnsi="Times New Roman" w:cs="Times New Roman"/>
            <w:sz w:val="20"/>
            <w:szCs w:val="20"/>
            <w:u w:val="none"/>
          </w:rPr>
          <w:t>Co</w:t>
        </w:r>
        <w:r w:rsidR="005568F2" w:rsidRPr="009037F9">
          <w:rPr>
            <w:rStyle w:val="Hyperlink"/>
            <w:rFonts w:ascii="Times New Roman" w:hAnsi="Times New Roman" w:cs="Times New Roman"/>
            <w:sz w:val="20"/>
            <w:szCs w:val="20"/>
            <w:u w:val="none"/>
          </w:rPr>
          <w:t xml:space="preserve">ntinence </w:t>
        </w:r>
        <w:proofErr w:type="spellStart"/>
        <w:r w:rsidR="005568F2" w:rsidRPr="009037F9">
          <w:rPr>
            <w:rStyle w:val="Hyperlink"/>
            <w:rFonts w:ascii="Times New Roman" w:hAnsi="Times New Roman" w:cs="Times New Roman"/>
            <w:sz w:val="20"/>
            <w:szCs w:val="20"/>
            <w:u w:val="none"/>
          </w:rPr>
          <w:t>Nurs</w:t>
        </w:r>
        <w:proofErr w:type="spellEnd"/>
        <w:r w:rsidR="005568F2" w:rsidRPr="009037F9">
          <w:rPr>
            <w:rStyle w:val="Hyperlink"/>
            <w:rFonts w:ascii="Times New Roman" w:hAnsi="Times New Roman" w:cs="Times New Roman"/>
            <w:sz w:val="20"/>
            <w:szCs w:val="20"/>
            <w:u w:val="none"/>
          </w:rPr>
          <w:t xml:space="preserve"> 41: </w:t>
        </w:r>
        <w:r w:rsidR="00F91E1A" w:rsidRPr="009037F9">
          <w:rPr>
            <w:rStyle w:val="Hyperlink"/>
            <w:rFonts w:ascii="Times New Roman" w:hAnsi="Times New Roman" w:cs="Times New Roman"/>
            <w:sz w:val="20"/>
            <w:szCs w:val="20"/>
            <w:u w:val="none"/>
          </w:rPr>
          <w:t>313-334</w:t>
        </w:r>
        <w:r w:rsidR="00544934" w:rsidRPr="009037F9">
          <w:rPr>
            <w:rStyle w:val="Hyperlink"/>
            <w:rFonts w:ascii="Times New Roman" w:hAnsi="Times New Roman" w:cs="Times New Roman"/>
            <w:sz w:val="20"/>
            <w:szCs w:val="20"/>
            <w:u w:val="none"/>
          </w:rPr>
          <w:t>.</w:t>
        </w:r>
      </w:hyperlink>
    </w:p>
    <w:p w:rsidR="00A02313"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6" w:history="1">
        <w:r w:rsidR="00A02313" w:rsidRPr="009037F9">
          <w:rPr>
            <w:rStyle w:val="Hyperlink"/>
            <w:rFonts w:ascii="Times New Roman" w:hAnsi="Times New Roman" w:cs="Times New Roman"/>
            <w:sz w:val="20"/>
            <w:szCs w:val="20"/>
            <w:u w:val="none"/>
          </w:rPr>
          <w:t xml:space="preserve">Moore Z, Patton D, </w:t>
        </w:r>
        <w:proofErr w:type="spellStart"/>
        <w:r w:rsidR="00A02313" w:rsidRPr="009037F9">
          <w:rPr>
            <w:rStyle w:val="Hyperlink"/>
            <w:rFonts w:ascii="Times New Roman" w:hAnsi="Times New Roman" w:cs="Times New Roman"/>
            <w:sz w:val="20"/>
            <w:szCs w:val="20"/>
            <w:u w:val="none"/>
          </w:rPr>
          <w:t>Avsar</w:t>
        </w:r>
        <w:proofErr w:type="spellEnd"/>
        <w:r w:rsidR="00A02313" w:rsidRPr="009037F9">
          <w:rPr>
            <w:rStyle w:val="Hyperlink"/>
            <w:rFonts w:ascii="Times New Roman" w:hAnsi="Times New Roman" w:cs="Times New Roman"/>
            <w:sz w:val="20"/>
            <w:szCs w:val="20"/>
            <w:u w:val="none"/>
          </w:rPr>
          <w:t xml:space="preserve"> P, et al. (2020) Prevention of pressure ulcers among individuals cared for in the prone position: lessons for the COVID-19 emergency. J Wound Care 29: 312-320.</w:t>
        </w:r>
      </w:hyperlink>
    </w:p>
    <w:p w:rsidR="00E10DA9"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7" w:history="1">
        <w:r w:rsidR="00B406A5" w:rsidRPr="009037F9">
          <w:rPr>
            <w:rStyle w:val="Hyperlink"/>
            <w:rFonts w:ascii="Times New Roman" w:hAnsi="Times New Roman" w:cs="Times New Roman"/>
            <w:sz w:val="20"/>
            <w:szCs w:val="20"/>
            <w:u w:val="none"/>
          </w:rPr>
          <w:t>Jansen L (2020) Building capacity in a pandemic: An alternate staffing model.</w:t>
        </w:r>
      </w:hyperlink>
    </w:p>
    <w:p w:rsidR="00E10DA9" w:rsidRPr="009037F9" w:rsidRDefault="00783921" w:rsidP="009037F9">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8" w:history="1">
        <w:r w:rsidR="008A2F51" w:rsidRPr="009037F9">
          <w:rPr>
            <w:rStyle w:val="Hyperlink"/>
            <w:rFonts w:ascii="Times New Roman" w:hAnsi="Times New Roman" w:cs="Times New Roman"/>
            <w:sz w:val="20"/>
            <w:szCs w:val="20"/>
            <w:u w:val="none"/>
          </w:rPr>
          <w:t>Midas© Healthcare Analytics Solutions, risk-adjustment model (2020)</w:t>
        </w:r>
        <w:r w:rsidR="00221645" w:rsidRPr="009037F9">
          <w:rPr>
            <w:rStyle w:val="Hyperlink"/>
            <w:rFonts w:ascii="Times New Roman" w:hAnsi="Times New Roman" w:cs="Times New Roman"/>
            <w:sz w:val="20"/>
            <w:szCs w:val="20"/>
            <w:u w:val="none"/>
          </w:rPr>
          <w:t>.</w:t>
        </w:r>
      </w:hyperlink>
    </w:p>
    <w:p w:rsidR="00C92450" w:rsidRPr="009037F9" w:rsidRDefault="00783921" w:rsidP="009638F7">
      <w:pPr>
        <w:pStyle w:val="ListParagraph"/>
        <w:numPr>
          <w:ilvl w:val="0"/>
          <w:numId w:val="14"/>
        </w:numPr>
        <w:spacing w:after="0" w:line="240" w:lineRule="auto"/>
        <w:ind w:left="0"/>
        <w:mirrorIndents/>
        <w:jc w:val="both"/>
        <w:rPr>
          <w:rFonts w:ascii="Times New Roman" w:hAnsi="Times New Roman" w:cs="Times New Roman"/>
          <w:sz w:val="20"/>
          <w:szCs w:val="20"/>
        </w:rPr>
      </w:pPr>
      <w:hyperlink r:id="rId39" w:history="1">
        <w:r w:rsidR="008A2F51" w:rsidRPr="004C7B18">
          <w:rPr>
            <w:rStyle w:val="Hyperlink"/>
            <w:rFonts w:ascii="Times New Roman" w:hAnsi="Times New Roman" w:cs="Times New Roman"/>
            <w:sz w:val="20"/>
            <w:szCs w:val="20"/>
            <w:u w:val="none"/>
          </w:rPr>
          <w:t>Pres</w:t>
        </w:r>
        <w:r w:rsidR="00765F79" w:rsidRPr="004C7B18">
          <w:rPr>
            <w:rStyle w:val="Hyperlink"/>
            <w:rFonts w:ascii="Times New Roman" w:hAnsi="Times New Roman" w:cs="Times New Roman"/>
            <w:sz w:val="20"/>
            <w:szCs w:val="20"/>
            <w:u w:val="none"/>
          </w:rPr>
          <w:t>sure Injury Prevention. (2020).</w:t>
        </w:r>
      </w:hyperlink>
    </w:p>
    <w:sectPr w:rsidR="00C92450" w:rsidRPr="009037F9" w:rsidSect="00BE7556">
      <w:headerReference w:type="default" r:id="rId40"/>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21" w:rsidRDefault="00783921" w:rsidP="00E5175D">
      <w:r>
        <w:separator/>
      </w:r>
    </w:p>
  </w:endnote>
  <w:endnote w:type="continuationSeparator" w:id="0">
    <w:p w:rsidR="00783921" w:rsidRDefault="00783921"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21" w:rsidRDefault="00783921" w:rsidP="00E5175D">
      <w:r>
        <w:separator/>
      </w:r>
    </w:p>
  </w:footnote>
  <w:footnote w:type="continuationSeparator" w:id="0">
    <w:p w:rsidR="00783921" w:rsidRDefault="00783921"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6E" w:rsidRPr="00FB16F8" w:rsidRDefault="00BF4F6E" w:rsidP="00BF4F6E">
    <w:pPr>
      <w:tabs>
        <w:tab w:val="left" w:pos="7426"/>
      </w:tabs>
      <w:contextualSpacing/>
      <w:mirrorIndents/>
      <w:jc w:val="both"/>
      <w:rPr>
        <w:sz w:val="20"/>
        <w:szCs w:val="20"/>
      </w:rPr>
    </w:pPr>
    <w:r w:rsidRPr="00FB16F8">
      <w:rPr>
        <w:noProof/>
        <w:sz w:val="20"/>
        <w:szCs w:val="20"/>
      </w:rPr>
      <w:drawing>
        <wp:anchor distT="0" distB="0" distL="114300" distR="114300" simplePos="0" relativeHeight="251659264" behindDoc="0" locked="0" layoutInCell="1" allowOverlap="1" wp14:anchorId="10B56028" wp14:editId="19368CB1">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BF4F6E" w:rsidRPr="00A443FF" w:rsidRDefault="00BF4F6E" w:rsidP="00BF4F6E">
    <w:pPr>
      <w:tabs>
        <w:tab w:val="left" w:pos="7426"/>
      </w:tabs>
      <w:contextualSpacing/>
      <w:mirrorIndents/>
      <w:jc w:val="both"/>
      <w:rPr>
        <w:sz w:val="22"/>
        <w:szCs w:val="22"/>
      </w:rPr>
    </w:pPr>
    <w:r w:rsidRPr="00A443FF">
      <w:rPr>
        <w:sz w:val="22"/>
        <w:szCs w:val="22"/>
      </w:rPr>
      <w:t>Columbus Publishers</w:t>
    </w:r>
  </w:p>
  <w:p w:rsidR="00BF4F6E" w:rsidRPr="00A443FF" w:rsidRDefault="00BF4F6E" w:rsidP="00BF4F6E">
    <w:pPr>
      <w:tabs>
        <w:tab w:val="left" w:pos="7426"/>
      </w:tabs>
      <w:contextualSpacing/>
      <w:mirrorIndents/>
      <w:jc w:val="both"/>
      <w:rPr>
        <w:sz w:val="22"/>
        <w:szCs w:val="22"/>
      </w:rPr>
    </w:pPr>
    <w:r w:rsidRPr="00A443FF">
      <w:rPr>
        <w:sz w:val="22"/>
        <w:szCs w:val="22"/>
      </w:rPr>
      <w:t>International Journal of Nursing and Health Care Science</w:t>
    </w:r>
  </w:p>
  <w:p w:rsidR="00BF4F6E" w:rsidRPr="00A443FF" w:rsidRDefault="00BF4F6E" w:rsidP="00BF4F6E">
    <w:pPr>
      <w:contextualSpacing/>
      <w:mirrorIndents/>
      <w:jc w:val="both"/>
      <w:rPr>
        <w:sz w:val="22"/>
        <w:szCs w:val="22"/>
      </w:rPr>
    </w:pPr>
    <w:r w:rsidRPr="00A443FF">
      <w:rPr>
        <w:sz w:val="22"/>
        <w:szCs w:val="22"/>
      </w:rPr>
      <w:t>Volume 02: Issue 05</w:t>
    </w:r>
  </w:p>
  <w:p w:rsidR="00B20574" w:rsidRDefault="002931BF" w:rsidP="00BF4F6E">
    <w:pPr>
      <w:contextualSpacing/>
      <w:mirrorIndents/>
      <w:jc w:val="both"/>
      <w:rPr>
        <w:sz w:val="20"/>
        <w:szCs w:val="20"/>
      </w:rPr>
    </w:pPr>
    <w:proofErr w:type="spellStart"/>
    <w:r w:rsidRPr="00A443FF">
      <w:rPr>
        <w:sz w:val="22"/>
        <w:szCs w:val="22"/>
      </w:rPr>
      <w:t>DeMellow</w:t>
    </w:r>
    <w:proofErr w:type="spellEnd"/>
    <w:r w:rsidRPr="00A443FF">
      <w:rPr>
        <w:sz w:val="22"/>
        <w:szCs w:val="22"/>
      </w:rPr>
      <w:t xml:space="preserve"> JM</w:t>
    </w:r>
    <w:r w:rsidR="00B20574" w:rsidRPr="00A443FF">
      <w:rPr>
        <w:sz w:val="22"/>
        <w:szCs w:val="22"/>
      </w:rPr>
      <w:t>, et al.</w:t>
    </w:r>
    <w:r w:rsidR="00A443FF">
      <w:rPr>
        <w:sz w:val="20"/>
        <w:szCs w:val="20"/>
      </w:rPr>
      <w:t xml:space="preserve"> </w:t>
    </w:r>
  </w:p>
  <w:p w:rsidR="00A443FF" w:rsidRPr="00FB16F8" w:rsidRDefault="00A443FF" w:rsidP="00BF4F6E">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60" w:hanging="360"/>
      </w:pPr>
      <w:rPr>
        <w:rFonts w:ascii="Calibri" w:hAnsi="Calibri" w:cs="Calibri"/>
        <w:b w:val="0"/>
        <w:bCs w:val="0"/>
        <w:sz w:val="22"/>
        <w:szCs w:val="22"/>
      </w:rPr>
    </w:lvl>
    <w:lvl w:ilvl="1">
      <w:start w:val="2"/>
      <w:numFmt w:val="lowerLetter"/>
      <w:lvlText w:val="%2."/>
      <w:lvlJc w:val="left"/>
      <w:pPr>
        <w:ind w:left="4049" w:hanging="221"/>
      </w:pPr>
      <w:rPr>
        <w:rFonts w:ascii="Calibri" w:hAnsi="Calibri" w:cs="Calibri"/>
        <w:b w:val="0"/>
        <w:bCs w:val="0"/>
        <w:spacing w:val="-1"/>
        <w:sz w:val="22"/>
        <w:szCs w:val="22"/>
      </w:rPr>
    </w:lvl>
    <w:lvl w:ilvl="2">
      <w:numFmt w:val="bullet"/>
      <w:lvlText w:val="•"/>
      <w:lvlJc w:val="left"/>
      <w:pPr>
        <w:ind w:left="4049" w:hanging="221"/>
      </w:pPr>
    </w:lvl>
    <w:lvl w:ilvl="3">
      <w:numFmt w:val="bullet"/>
      <w:lvlText w:val="•"/>
      <w:lvlJc w:val="left"/>
      <w:pPr>
        <w:ind w:left="4081" w:hanging="221"/>
      </w:pPr>
    </w:lvl>
    <w:lvl w:ilvl="4">
      <w:numFmt w:val="bullet"/>
      <w:lvlText w:val="•"/>
      <w:lvlJc w:val="left"/>
      <w:pPr>
        <w:ind w:left="4131" w:hanging="221"/>
      </w:pPr>
    </w:lvl>
    <w:lvl w:ilvl="5">
      <w:numFmt w:val="bullet"/>
      <w:lvlText w:val="•"/>
      <w:lvlJc w:val="left"/>
      <w:pPr>
        <w:ind w:left="4136" w:hanging="221"/>
      </w:pPr>
    </w:lvl>
    <w:lvl w:ilvl="6">
      <w:numFmt w:val="bullet"/>
      <w:lvlText w:val="•"/>
      <w:lvlJc w:val="left"/>
      <w:pPr>
        <w:ind w:left="5140" w:hanging="221"/>
      </w:pPr>
    </w:lvl>
    <w:lvl w:ilvl="7">
      <w:numFmt w:val="bullet"/>
      <w:lvlText w:val="•"/>
      <w:lvlJc w:val="left"/>
      <w:pPr>
        <w:ind w:left="6145" w:hanging="221"/>
      </w:pPr>
    </w:lvl>
    <w:lvl w:ilvl="8">
      <w:numFmt w:val="bullet"/>
      <w:lvlText w:val="•"/>
      <w:lvlJc w:val="left"/>
      <w:pPr>
        <w:ind w:left="7150" w:hanging="221"/>
      </w:pPr>
    </w:lvl>
  </w:abstractNum>
  <w:abstractNum w:abstractNumId="1" w15:restartNumberingAfterBreak="0">
    <w:nsid w:val="00000403"/>
    <w:multiLevelType w:val="multilevel"/>
    <w:tmpl w:val="00000886"/>
    <w:lvl w:ilvl="0">
      <w:start w:val="2"/>
      <w:numFmt w:val="lowerLetter"/>
      <w:lvlText w:val="%1."/>
      <w:lvlJc w:val="left"/>
      <w:pPr>
        <w:ind w:left="2349" w:hanging="222"/>
      </w:pPr>
      <w:rPr>
        <w:rFonts w:ascii="Calibri" w:hAnsi="Calibri" w:cs="Calibri"/>
        <w:b w:val="0"/>
        <w:bCs w:val="0"/>
        <w:spacing w:val="-1"/>
        <w:sz w:val="22"/>
        <w:szCs w:val="22"/>
      </w:rPr>
    </w:lvl>
    <w:lvl w:ilvl="1">
      <w:numFmt w:val="bullet"/>
      <w:lvlText w:val="•"/>
      <w:lvlJc w:val="left"/>
      <w:pPr>
        <w:ind w:left="2660" w:hanging="222"/>
      </w:pPr>
    </w:lvl>
    <w:lvl w:ilvl="2">
      <w:numFmt w:val="bullet"/>
      <w:lvlText w:val="•"/>
      <w:lvlJc w:val="left"/>
      <w:pPr>
        <w:ind w:left="3386" w:hanging="222"/>
      </w:pPr>
    </w:lvl>
    <w:lvl w:ilvl="3">
      <w:numFmt w:val="bullet"/>
      <w:lvlText w:val="•"/>
      <w:lvlJc w:val="left"/>
      <w:pPr>
        <w:ind w:left="4113" w:hanging="222"/>
      </w:pPr>
    </w:lvl>
    <w:lvl w:ilvl="4">
      <w:numFmt w:val="bullet"/>
      <w:lvlText w:val="•"/>
      <w:lvlJc w:val="left"/>
      <w:pPr>
        <w:ind w:left="4840" w:hanging="222"/>
      </w:pPr>
    </w:lvl>
    <w:lvl w:ilvl="5">
      <w:numFmt w:val="bullet"/>
      <w:lvlText w:val="•"/>
      <w:lvlJc w:val="left"/>
      <w:pPr>
        <w:ind w:left="5566" w:hanging="222"/>
      </w:pPr>
    </w:lvl>
    <w:lvl w:ilvl="6">
      <w:numFmt w:val="bullet"/>
      <w:lvlText w:val="•"/>
      <w:lvlJc w:val="left"/>
      <w:pPr>
        <w:ind w:left="6293" w:hanging="222"/>
      </w:pPr>
    </w:lvl>
    <w:lvl w:ilvl="7">
      <w:numFmt w:val="bullet"/>
      <w:lvlText w:val="•"/>
      <w:lvlJc w:val="left"/>
      <w:pPr>
        <w:ind w:left="7020" w:hanging="222"/>
      </w:pPr>
    </w:lvl>
    <w:lvl w:ilvl="8">
      <w:numFmt w:val="bullet"/>
      <w:lvlText w:val="•"/>
      <w:lvlJc w:val="left"/>
      <w:pPr>
        <w:ind w:left="7746" w:hanging="222"/>
      </w:pPr>
    </w:lvl>
  </w:abstractNum>
  <w:abstractNum w:abstractNumId="2" w15:restartNumberingAfterBreak="0">
    <w:nsid w:val="0DF068D7"/>
    <w:multiLevelType w:val="hybridMultilevel"/>
    <w:tmpl w:val="7A28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55587B"/>
    <w:multiLevelType w:val="hybridMultilevel"/>
    <w:tmpl w:val="560A3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56296"/>
    <w:multiLevelType w:val="hybridMultilevel"/>
    <w:tmpl w:val="9AD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10133"/>
    <w:multiLevelType w:val="hybridMultilevel"/>
    <w:tmpl w:val="A6D6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D042E"/>
    <w:multiLevelType w:val="hybridMultilevel"/>
    <w:tmpl w:val="286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3BA"/>
    <w:multiLevelType w:val="hybridMultilevel"/>
    <w:tmpl w:val="EF8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81530"/>
    <w:multiLevelType w:val="hybridMultilevel"/>
    <w:tmpl w:val="0AE6741A"/>
    <w:lvl w:ilvl="0" w:tplc="726298AA">
      <w:start w:val="1"/>
      <w:numFmt w:val="decimal"/>
      <w:lvlText w:val="%1)"/>
      <w:lvlJc w:val="left"/>
      <w:pPr>
        <w:ind w:left="700" w:hanging="360"/>
      </w:pPr>
      <w:rPr>
        <w:rFonts w:ascii="Times New Roman" w:eastAsia="Times New Roman" w:hAnsi="Times New Roman" w:cs="Times New Roman" w:hint="default"/>
        <w:spacing w:val="-20"/>
        <w:w w:val="100"/>
        <w:sz w:val="24"/>
        <w:szCs w:val="24"/>
        <w:lang w:val="en-US" w:eastAsia="en-US" w:bidi="ar-SA"/>
      </w:rPr>
    </w:lvl>
    <w:lvl w:ilvl="1" w:tplc="24DA0262">
      <w:numFmt w:val="bullet"/>
      <w:lvlText w:val="•"/>
      <w:lvlJc w:val="left"/>
      <w:pPr>
        <w:ind w:left="1160" w:hanging="360"/>
      </w:pPr>
      <w:rPr>
        <w:rFonts w:hint="default"/>
        <w:lang w:val="en-US" w:eastAsia="en-US" w:bidi="ar-SA"/>
      </w:rPr>
    </w:lvl>
    <w:lvl w:ilvl="2" w:tplc="A7389DC8">
      <w:numFmt w:val="bullet"/>
      <w:lvlText w:val="•"/>
      <w:lvlJc w:val="left"/>
      <w:pPr>
        <w:ind w:left="2195" w:hanging="360"/>
      </w:pPr>
      <w:rPr>
        <w:rFonts w:hint="default"/>
        <w:lang w:val="en-US" w:eastAsia="en-US" w:bidi="ar-SA"/>
      </w:rPr>
    </w:lvl>
    <w:lvl w:ilvl="3" w:tplc="B1F8265A">
      <w:numFmt w:val="bullet"/>
      <w:lvlText w:val="•"/>
      <w:lvlJc w:val="left"/>
      <w:pPr>
        <w:ind w:left="3231" w:hanging="360"/>
      </w:pPr>
      <w:rPr>
        <w:rFonts w:hint="default"/>
        <w:lang w:val="en-US" w:eastAsia="en-US" w:bidi="ar-SA"/>
      </w:rPr>
    </w:lvl>
    <w:lvl w:ilvl="4" w:tplc="D87238F2">
      <w:numFmt w:val="bullet"/>
      <w:lvlText w:val="•"/>
      <w:lvlJc w:val="left"/>
      <w:pPr>
        <w:ind w:left="4266" w:hanging="360"/>
      </w:pPr>
      <w:rPr>
        <w:rFonts w:hint="default"/>
        <w:lang w:val="en-US" w:eastAsia="en-US" w:bidi="ar-SA"/>
      </w:rPr>
    </w:lvl>
    <w:lvl w:ilvl="5" w:tplc="0DD610B0">
      <w:numFmt w:val="bullet"/>
      <w:lvlText w:val="•"/>
      <w:lvlJc w:val="left"/>
      <w:pPr>
        <w:ind w:left="5302" w:hanging="360"/>
      </w:pPr>
      <w:rPr>
        <w:rFonts w:hint="default"/>
        <w:lang w:val="en-US" w:eastAsia="en-US" w:bidi="ar-SA"/>
      </w:rPr>
    </w:lvl>
    <w:lvl w:ilvl="6" w:tplc="A4329698">
      <w:numFmt w:val="bullet"/>
      <w:lvlText w:val="•"/>
      <w:lvlJc w:val="left"/>
      <w:pPr>
        <w:ind w:left="6337" w:hanging="360"/>
      </w:pPr>
      <w:rPr>
        <w:rFonts w:hint="default"/>
        <w:lang w:val="en-US" w:eastAsia="en-US" w:bidi="ar-SA"/>
      </w:rPr>
    </w:lvl>
    <w:lvl w:ilvl="7" w:tplc="CE52DF54">
      <w:numFmt w:val="bullet"/>
      <w:lvlText w:val="•"/>
      <w:lvlJc w:val="left"/>
      <w:pPr>
        <w:ind w:left="7373" w:hanging="360"/>
      </w:pPr>
      <w:rPr>
        <w:rFonts w:hint="default"/>
        <w:lang w:val="en-US" w:eastAsia="en-US" w:bidi="ar-SA"/>
      </w:rPr>
    </w:lvl>
    <w:lvl w:ilvl="8" w:tplc="4648B024">
      <w:numFmt w:val="bullet"/>
      <w:lvlText w:val="•"/>
      <w:lvlJc w:val="left"/>
      <w:pPr>
        <w:ind w:left="8408" w:hanging="360"/>
      </w:pPr>
      <w:rPr>
        <w:rFonts w:hint="default"/>
        <w:lang w:val="en-US" w:eastAsia="en-US" w:bidi="ar-SA"/>
      </w:rPr>
    </w:lvl>
  </w:abstractNum>
  <w:abstractNum w:abstractNumId="9" w15:restartNumberingAfterBreak="0">
    <w:nsid w:val="45F05634"/>
    <w:multiLevelType w:val="hybridMultilevel"/>
    <w:tmpl w:val="87485626"/>
    <w:lvl w:ilvl="0" w:tplc="B8EA5D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E02690"/>
    <w:multiLevelType w:val="hybridMultilevel"/>
    <w:tmpl w:val="13C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726B3"/>
    <w:multiLevelType w:val="hybridMultilevel"/>
    <w:tmpl w:val="DA72F908"/>
    <w:lvl w:ilvl="0" w:tplc="615C5CEC">
      <w:numFmt w:val="bullet"/>
      <w:lvlText w:val=""/>
      <w:lvlJc w:val="left"/>
      <w:pPr>
        <w:ind w:left="1660" w:hanging="561"/>
      </w:pPr>
      <w:rPr>
        <w:rFonts w:ascii="Symbol" w:eastAsia="Symbol" w:hAnsi="Symbol" w:cs="Symbol" w:hint="default"/>
        <w:w w:val="96"/>
        <w:sz w:val="24"/>
        <w:szCs w:val="24"/>
        <w:lang w:val="en-US" w:eastAsia="en-US" w:bidi="ar-SA"/>
      </w:rPr>
    </w:lvl>
    <w:lvl w:ilvl="1" w:tplc="4AA2A9F2">
      <w:start w:val="1"/>
      <w:numFmt w:val="decimal"/>
      <w:lvlText w:val="%2)"/>
      <w:lvlJc w:val="left"/>
      <w:pPr>
        <w:ind w:left="1160" w:hanging="260"/>
      </w:pPr>
      <w:rPr>
        <w:rFonts w:ascii="Times New Roman" w:eastAsia="Times New Roman" w:hAnsi="Times New Roman" w:cs="Times New Roman" w:hint="default"/>
        <w:spacing w:val="-11"/>
        <w:w w:val="100"/>
        <w:sz w:val="24"/>
        <w:szCs w:val="24"/>
        <w:lang w:val="en-US" w:eastAsia="en-US" w:bidi="ar-SA"/>
      </w:rPr>
    </w:lvl>
    <w:lvl w:ilvl="2" w:tplc="5B6C998E">
      <w:numFmt w:val="bullet"/>
      <w:lvlText w:val="•"/>
      <w:lvlJc w:val="left"/>
      <w:pPr>
        <w:ind w:left="2640" w:hanging="260"/>
      </w:pPr>
      <w:rPr>
        <w:rFonts w:hint="default"/>
        <w:lang w:val="en-US" w:eastAsia="en-US" w:bidi="ar-SA"/>
      </w:rPr>
    </w:lvl>
    <w:lvl w:ilvl="3" w:tplc="6AFE2718">
      <w:numFmt w:val="bullet"/>
      <w:lvlText w:val="•"/>
      <w:lvlJc w:val="left"/>
      <w:pPr>
        <w:ind w:left="3620" w:hanging="260"/>
      </w:pPr>
      <w:rPr>
        <w:rFonts w:hint="default"/>
        <w:lang w:val="en-US" w:eastAsia="en-US" w:bidi="ar-SA"/>
      </w:rPr>
    </w:lvl>
    <w:lvl w:ilvl="4" w:tplc="1AF6CA84">
      <w:numFmt w:val="bullet"/>
      <w:lvlText w:val="•"/>
      <w:lvlJc w:val="left"/>
      <w:pPr>
        <w:ind w:left="4600" w:hanging="260"/>
      </w:pPr>
      <w:rPr>
        <w:rFonts w:hint="default"/>
        <w:lang w:val="en-US" w:eastAsia="en-US" w:bidi="ar-SA"/>
      </w:rPr>
    </w:lvl>
    <w:lvl w:ilvl="5" w:tplc="ADB8034E">
      <w:numFmt w:val="bullet"/>
      <w:lvlText w:val="•"/>
      <w:lvlJc w:val="left"/>
      <w:pPr>
        <w:ind w:left="5580" w:hanging="260"/>
      </w:pPr>
      <w:rPr>
        <w:rFonts w:hint="default"/>
        <w:lang w:val="en-US" w:eastAsia="en-US" w:bidi="ar-SA"/>
      </w:rPr>
    </w:lvl>
    <w:lvl w:ilvl="6" w:tplc="31782BDC">
      <w:numFmt w:val="bullet"/>
      <w:lvlText w:val="•"/>
      <w:lvlJc w:val="left"/>
      <w:pPr>
        <w:ind w:left="6560" w:hanging="260"/>
      </w:pPr>
      <w:rPr>
        <w:rFonts w:hint="default"/>
        <w:lang w:val="en-US" w:eastAsia="en-US" w:bidi="ar-SA"/>
      </w:rPr>
    </w:lvl>
    <w:lvl w:ilvl="7" w:tplc="FA821584">
      <w:numFmt w:val="bullet"/>
      <w:lvlText w:val="•"/>
      <w:lvlJc w:val="left"/>
      <w:pPr>
        <w:ind w:left="7540" w:hanging="260"/>
      </w:pPr>
      <w:rPr>
        <w:rFonts w:hint="default"/>
        <w:lang w:val="en-US" w:eastAsia="en-US" w:bidi="ar-SA"/>
      </w:rPr>
    </w:lvl>
    <w:lvl w:ilvl="8" w:tplc="D9E4AB22">
      <w:numFmt w:val="bullet"/>
      <w:lvlText w:val="•"/>
      <w:lvlJc w:val="left"/>
      <w:pPr>
        <w:ind w:left="8520" w:hanging="260"/>
      </w:pPr>
      <w:rPr>
        <w:rFonts w:hint="default"/>
        <w:lang w:val="en-US" w:eastAsia="en-US" w:bidi="ar-SA"/>
      </w:rPr>
    </w:lvl>
  </w:abstractNum>
  <w:abstractNum w:abstractNumId="12" w15:restartNumberingAfterBreak="0">
    <w:nsid w:val="68CB727F"/>
    <w:multiLevelType w:val="hybridMultilevel"/>
    <w:tmpl w:val="30E8822C"/>
    <w:lvl w:ilvl="0" w:tplc="66E84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C7E66"/>
    <w:multiLevelType w:val="hybridMultilevel"/>
    <w:tmpl w:val="301E4448"/>
    <w:lvl w:ilvl="0" w:tplc="DBA27C7A">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0"/>
  </w:num>
  <w:num w:numId="5">
    <w:abstractNumId w:val="5"/>
  </w:num>
  <w:num w:numId="6">
    <w:abstractNumId w:val="8"/>
  </w:num>
  <w:num w:numId="7">
    <w:abstractNumId w:val="11"/>
  </w:num>
  <w:num w:numId="8">
    <w:abstractNumId w:val="6"/>
  </w:num>
  <w:num w:numId="9">
    <w:abstractNumId w:val="4"/>
  </w:num>
  <w:num w:numId="10">
    <w:abstractNumId w:val="10"/>
  </w:num>
  <w:num w:numId="11">
    <w:abstractNumId w:val="2"/>
  </w:num>
  <w:num w:numId="12">
    <w:abstractNumId w:val="7"/>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1EA1"/>
    <w:rsid w:val="0000312F"/>
    <w:rsid w:val="00003708"/>
    <w:rsid w:val="00005CA8"/>
    <w:rsid w:val="00011126"/>
    <w:rsid w:val="00013CFF"/>
    <w:rsid w:val="000206B6"/>
    <w:rsid w:val="000221C0"/>
    <w:rsid w:val="00024803"/>
    <w:rsid w:val="00025AC0"/>
    <w:rsid w:val="0003245B"/>
    <w:rsid w:val="00040407"/>
    <w:rsid w:val="0004063E"/>
    <w:rsid w:val="00040C34"/>
    <w:rsid w:val="00043514"/>
    <w:rsid w:val="000450A3"/>
    <w:rsid w:val="000455CA"/>
    <w:rsid w:val="00045A0C"/>
    <w:rsid w:val="00045EBC"/>
    <w:rsid w:val="0004678F"/>
    <w:rsid w:val="00050674"/>
    <w:rsid w:val="0005109F"/>
    <w:rsid w:val="000515C6"/>
    <w:rsid w:val="00054246"/>
    <w:rsid w:val="00055E43"/>
    <w:rsid w:val="00056E05"/>
    <w:rsid w:val="00062CD9"/>
    <w:rsid w:val="00063492"/>
    <w:rsid w:val="00064264"/>
    <w:rsid w:val="000651D9"/>
    <w:rsid w:val="0006656D"/>
    <w:rsid w:val="00066B0E"/>
    <w:rsid w:val="00067A87"/>
    <w:rsid w:val="00070E1D"/>
    <w:rsid w:val="00071F33"/>
    <w:rsid w:val="000724F8"/>
    <w:rsid w:val="000736F9"/>
    <w:rsid w:val="000803B8"/>
    <w:rsid w:val="00080E50"/>
    <w:rsid w:val="00080F6B"/>
    <w:rsid w:val="00083F7E"/>
    <w:rsid w:val="00087A4D"/>
    <w:rsid w:val="000938B6"/>
    <w:rsid w:val="00093E90"/>
    <w:rsid w:val="00094573"/>
    <w:rsid w:val="00094ED8"/>
    <w:rsid w:val="0009607C"/>
    <w:rsid w:val="00097EFE"/>
    <w:rsid w:val="000A22C6"/>
    <w:rsid w:val="000A4730"/>
    <w:rsid w:val="000A5167"/>
    <w:rsid w:val="000A6812"/>
    <w:rsid w:val="000A71C6"/>
    <w:rsid w:val="000A78AA"/>
    <w:rsid w:val="000B0646"/>
    <w:rsid w:val="000B1EF1"/>
    <w:rsid w:val="000B47CA"/>
    <w:rsid w:val="000B5481"/>
    <w:rsid w:val="000B5B6C"/>
    <w:rsid w:val="000B5BEB"/>
    <w:rsid w:val="000B744B"/>
    <w:rsid w:val="000C0645"/>
    <w:rsid w:val="000C2848"/>
    <w:rsid w:val="000C3F91"/>
    <w:rsid w:val="000C3FC6"/>
    <w:rsid w:val="000C4FC6"/>
    <w:rsid w:val="000C5E7A"/>
    <w:rsid w:val="000C6CF3"/>
    <w:rsid w:val="000D127B"/>
    <w:rsid w:val="000D160A"/>
    <w:rsid w:val="000D1A76"/>
    <w:rsid w:val="000D1C64"/>
    <w:rsid w:val="000D31C9"/>
    <w:rsid w:val="000D4205"/>
    <w:rsid w:val="000D5DFD"/>
    <w:rsid w:val="000D6A26"/>
    <w:rsid w:val="000D6D4C"/>
    <w:rsid w:val="000E7698"/>
    <w:rsid w:val="000E7818"/>
    <w:rsid w:val="000F0313"/>
    <w:rsid w:val="000F4125"/>
    <w:rsid w:val="000F45A7"/>
    <w:rsid w:val="000F47C9"/>
    <w:rsid w:val="000F49CE"/>
    <w:rsid w:val="000F6909"/>
    <w:rsid w:val="000F6E3C"/>
    <w:rsid w:val="000F7085"/>
    <w:rsid w:val="00100183"/>
    <w:rsid w:val="00101649"/>
    <w:rsid w:val="00103DED"/>
    <w:rsid w:val="00107DAE"/>
    <w:rsid w:val="00110108"/>
    <w:rsid w:val="001115A5"/>
    <w:rsid w:val="00111FDB"/>
    <w:rsid w:val="00121866"/>
    <w:rsid w:val="00121AB7"/>
    <w:rsid w:val="0012295D"/>
    <w:rsid w:val="00122B48"/>
    <w:rsid w:val="001257DA"/>
    <w:rsid w:val="00126099"/>
    <w:rsid w:val="00130A6A"/>
    <w:rsid w:val="00130D78"/>
    <w:rsid w:val="00132754"/>
    <w:rsid w:val="00132E5B"/>
    <w:rsid w:val="00133616"/>
    <w:rsid w:val="001340F2"/>
    <w:rsid w:val="001356CC"/>
    <w:rsid w:val="00136182"/>
    <w:rsid w:val="00141213"/>
    <w:rsid w:val="001474CF"/>
    <w:rsid w:val="001527F0"/>
    <w:rsid w:val="001556F1"/>
    <w:rsid w:val="00155B9B"/>
    <w:rsid w:val="00155D57"/>
    <w:rsid w:val="001564D7"/>
    <w:rsid w:val="0016061D"/>
    <w:rsid w:val="00161AF0"/>
    <w:rsid w:val="00164880"/>
    <w:rsid w:val="0016685F"/>
    <w:rsid w:val="00166925"/>
    <w:rsid w:val="00173CB6"/>
    <w:rsid w:val="001750D2"/>
    <w:rsid w:val="0018092A"/>
    <w:rsid w:val="001818C5"/>
    <w:rsid w:val="00182501"/>
    <w:rsid w:val="001862C9"/>
    <w:rsid w:val="00186B0E"/>
    <w:rsid w:val="001900F1"/>
    <w:rsid w:val="0019207B"/>
    <w:rsid w:val="00193EEF"/>
    <w:rsid w:val="00195013"/>
    <w:rsid w:val="00196682"/>
    <w:rsid w:val="00197169"/>
    <w:rsid w:val="00197864"/>
    <w:rsid w:val="00197CDD"/>
    <w:rsid w:val="001A14ED"/>
    <w:rsid w:val="001A59CD"/>
    <w:rsid w:val="001B3505"/>
    <w:rsid w:val="001B5ADE"/>
    <w:rsid w:val="001C1491"/>
    <w:rsid w:val="001C1AE4"/>
    <w:rsid w:val="001C2D21"/>
    <w:rsid w:val="001C5DDD"/>
    <w:rsid w:val="001C72B7"/>
    <w:rsid w:val="001D0DD9"/>
    <w:rsid w:val="001D1DD8"/>
    <w:rsid w:val="001D2906"/>
    <w:rsid w:val="001D3391"/>
    <w:rsid w:val="001D5610"/>
    <w:rsid w:val="001D6822"/>
    <w:rsid w:val="001D6C20"/>
    <w:rsid w:val="001E29E0"/>
    <w:rsid w:val="001E3F61"/>
    <w:rsid w:val="001E5881"/>
    <w:rsid w:val="001E7B0A"/>
    <w:rsid w:val="001F0D37"/>
    <w:rsid w:val="001F2A41"/>
    <w:rsid w:val="001F3D3F"/>
    <w:rsid w:val="001F56BC"/>
    <w:rsid w:val="001F7520"/>
    <w:rsid w:val="00200C79"/>
    <w:rsid w:val="00201AB5"/>
    <w:rsid w:val="00202858"/>
    <w:rsid w:val="002045BF"/>
    <w:rsid w:val="0020747F"/>
    <w:rsid w:val="00211CBE"/>
    <w:rsid w:val="002123A8"/>
    <w:rsid w:val="00217CC4"/>
    <w:rsid w:val="0022012C"/>
    <w:rsid w:val="00220669"/>
    <w:rsid w:val="0022114E"/>
    <w:rsid w:val="00221645"/>
    <w:rsid w:val="0022472D"/>
    <w:rsid w:val="00225FC8"/>
    <w:rsid w:val="0023457D"/>
    <w:rsid w:val="0023475B"/>
    <w:rsid w:val="00237C63"/>
    <w:rsid w:val="002427BD"/>
    <w:rsid w:val="0024404A"/>
    <w:rsid w:val="0024649C"/>
    <w:rsid w:val="0024703D"/>
    <w:rsid w:val="00250FB8"/>
    <w:rsid w:val="00252948"/>
    <w:rsid w:val="002538DD"/>
    <w:rsid w:val="00257E49"/>
    <w:rsid w:val="00261F56"/>
    <w:rsid w:val="00263FF9"/>
    <w:rsid w:val="00265693"/>
    <w:rsid w:val="00265B36"/>
    <w:rsid w:val="002710A0"/>
    <w:rsid w:val="0027496C"/>
    <w:rsid w:val="002762DD"/>
    <w:rsid w:val="00277B62"/>
    <w:rsid w:val="002869AC"/>
    <w:rsid w:val="00286BAE"/>
    <w:rsid w:val="00287A8B"/>
    <w:rsid w:val="00291B63"/>
    <w:rsid w:val="00292563"/>
    <w:rsid w:val="002931BF"/>
    <w:rsid w:val="002A0236"/>
    <w:rsid w:val="002A2959"/>
    <w:rsid w:val="002A4AE9"/>
    <w:rsid w:val="002A6940"/>
    <w:rsid w:val="002B1086"/>
    <w:rsid w:val="002B19FE"/>
    <w:rsid w:val="002B1BD7"/>
    <w:rsid w:val="002B29D3"/>
    <w:rsid w:val="002B425D"/>
    <w:rsid w:val="002B4987"/>
    <w:rsid w:val="002B552B"/>
    <w:rsid w:val="002B673A"/>
    <w:rsid w:val="002C1036"/>
    <w:rsid w:val="002C4945"/>
    <w:rsid w:val="002C4979"/>
    <w:rsid w:val="002C4AD0"/>
    <w:rsid w:val="002C4D45"/>
    <w:rsid w:val="002C7168"/>
    <w:rsid w:val="002D01A8"/>
    <w:rsid w:val="002D2C63"/>
    <w:rsid w:val="002E10A8"/>
    <w:rsid w:val="002E2583"/>
    <w:rsid w:val="002E6BBB"/>
    <w:rsid w:val="002E6F52"/>
    <w:rsid w:val="002E71C8"/>
    <w:rsid w:val="002F0442"/>
    <w:rsid w:val="002F0D3C"/>
    <w:rsid w:val="002F3685"/>
    <w:rsid w:val="002F4A51"/>
    <w:rsid w:val="002F6012"/>
    <w:rsid w:val="0030201F"/>
    <w:rsid w:val="00306CBB"/>
    <w:rsid w:val="00310E7D"/>
    <w:rsid w:val="00313AC6"/>
    <w:rsid w:val="00315670"/>
    <w:rsid w:val="0031645A"/>
    <w:rsid w:val="0031791A"/>
    <w:rsid w:val="00317C45"/>
    <w:rsid w:val="0032223A"/>
    <w:rsid w:val="003234F1"/>
    <w:rsid w:val="003235B7"/>
    <w:rsid w:val="00326637"/>
    <w:rsid w:val="00326B95"/>
    <w:rsid w:val="003315D0"/>
    <w:rsid w:val="00332988"/>
    <w:rsid w:val="00340CF2"/>
    <w:rsid w:val="00341037"/>
    <w:rsid w:val="00341A40"/>
    <w:rsid w:val="0034316F"/>
    <w:rsid w:val="00343B69"/>
    <w:rsid w:val="00350354"/>
    <w:rsid w:val="00351625"/>
    <w:rsid w:val="00352879"/>
    <w:rsid w:val="0035359A"/>
    <w:rsid w:val="003539EE"/>
    <w:rsid w:val="003545B9"/>
    <w:rsid w:val="0035516E"/>
    <w:rsid w:val="00357459"/>
    <w:rsid w:val="00360EF1"/>
    <w:rsid w:val="00362B24"/>
    <w:rsid w:val="003635F0"/>
    <w:rsid w:val="00364B80"/>
    <w:rsid w:val="003658CF"/>
    <w:rsid w:val="003668CE"/>
    <w:rsid w:val="003677FD"/>
    <w:rsid w:val="00372887"/>
    <w:rsid w:val="00374FF2"/>
    <w:rsid w:val="003822DA"/>
    <w:rsid w:val="003844C8"/>
    <w:rsid w:val="0038687C"/>
    <w:rsid w:val="00387B21"/>
    <w:rsid w:val="0039293E"/>
    <w:rsid w:val="0039732F"/>
    <w:rsid w:val="00397ED6"/>
    <w:rsid w:val="003A03E0"/>
    <w:rsid w:val="003A286C"/>
    <w:rsid w:val="003A3A81"/>
    <w:rsid w:val="003A5177"/>
    <w:rsid w:val="003A7313"/>
    <w:rsid w:val="003A7366"/>
    <w:rsid w:val="003B027B"/>
    <w:rsid w:val="003B09A3"/>
    <w:rsid w:val="003B0F85"/>
    <w:rsid w:val="003B2288"/>
    <w:rsid w:val="003B4B80"/>
    <w:rsid w:val="003B5460"/>
    <w:rsid w:val="003C3231"/>
    <w:rsid w:val="003C337E"/>
    <w:rsid w:val="003C52A0"/>
    <w:rsid w:val="003D0A28"/>
    <w:rsid w:val="003D173D"/>
    <w:rsid w:val="003D2D9C"/>
    <w:rsid w:val="003D4DAA"/>
    <w:rsid w:val="003D6109"/>
    <w:rsid w:val="003E1B01"/>
    <w:rsid w:val="003E28C0"/>
    <w:rsid w:val="003E4113"/>
    <w:rsid w:val="003E5C2D"/>
    <w:rsid w:val="003E6D4A"/>
    <w:rsid w:val="003E7E9D"/>
    <w:rsid w:val="003F0726"/>
    <w:rsid w:val="003F0EAB"/>
    <w:rsid w:val="003F42A0"/>
    <w:rsid w:val="00403AF0"/>
    <w:rsid w:val="00407FD5"/>
    <w:rsid w:val="004101EA"/>
    <w:rsid w:val="00411556"/>
    <w:rsid w:val="00412844"/>
    <w:rsid w:val="00417147"/>
    <w:rsid w:val="00422E66"/>
    <w:rsid w:val="00423F00"/>
    <w:rsid w:val="004241F7"/>
    <w:rsid w:val="00427CCB"/>
    <w:rsid w:val="00433E92"/>
    <w:rsid w:val="004372B8"/>
    <w:rsid w:val="004375DE"/>
    <w:rsid w:val="00437B04"/>
    <w:rsid w:val="00437CAB"/>
    <w:rsid w:val="00440E08"/>
    <w:rsid w:val="00442D1E"/>
    <w:rsid w:val="00446AE9"/>
    <w:rsid w:val="00455236"/>
    <w:rsid w:val="00457126"/>
    <w:rsid w:val="00457ECB"/>
    <w:rsid w:val="00460215"/>
    <w:rsid w:val="00461FE8"/>
    <w:rsid w:val="004651B2"/>
    <w:rsid w:val="00465E0E"/>
    <w:rsid w:val="00466212"/>
    <w:rsid w:val="004712EB"/>
    <w:rsid w:val="00476BEC"/>
    <w:rsid w:val="00476E75"/>
    <w:rsid w:val="00484563"/>
    <w:rsid w:val="004847B2"/>
    <w:rsid w:val="00484980"/>
    <w:rsid w:val="004855C0"/>
    <w:rsid w:val="00487686"/>
    <w:rsid w:val="00487F12"/>
    <w:rsid w:val="004934D4"/>
    <w:rsid w:val="00493C31"/>
    <w:rsid w:val="0049488D"/>
    <w:rsid w:val="00495FA4"/>
    <w:rsid w:val="004A65EF"/>
    <w:rsid w:val="004A68A1"/>
    <w:rsid w:val="004A78BA"/>
    <w:rsid w:val="004B0E1D"/>
    <w:rsid w:val="004B2157"/>
    <w:rsid w:val="004B596F"/>
    <w:rsid w:val="004B6E9A"/>
    <w:rsid w:val="004C0C6F"/>
    <w:rsid w:val="004C14C7"/>
    <w:rsid w:val="004C2455"/>
    <w:rsid w:val="004C3A87"/>
    <w:rsid w:val="004C7B18"/>
    <w:rsid w:val="004D16A8"/>
    <w:rsid w:val="004D3919"/>
    <w:rsid w:val="004D4B17"/>
    <w:rsid w:val="004E2BDB"/>
    <w:rsid w:val="004F2902"/>
    <w:rsid w:val="004F4243"/>
    <w:rsid w:val="004F6784"/>
    <w:rsid w:val="00500B62"/>
    <w:rsid w:val="00502320"/>
    <w:rsid w:val="005024DB"/>
    <w:rsid w:val="00502A78"/>
    <w:rsid w:val="00506AEA"/>
    <w:rsid w:val="00512275"/>
    <w:rsid w:val="005128AE"/>
    <w:rsid w:val="00512C6A"/>
    <w:rsid w:val="0051438A"/>
    <w:rsid w:val="00516331"/>
    <w:rsid w:val="00517328"/>
    <w:rsid w:val="00517ED2"/>
    <w:rsid w:val="00523840"/>
    <w:rsid w:val="00526289"/>
    <w:rsid w:val="00534187"/>
    <w:rsid w:val="00535576"/>
    <w:rsid w:val="00537E5B"/>
    <w:rsid w:val="00541163"/>
    <w:rsid w:val="00541C85"/>
    <w:rsid w:val="00541EA9"/>
    <w:rsid w:val="005424CD"/>
    <w:rsid w:val="00544934"/>
    <w:rsid w:val="0054705C"/>
    <w:rsid w:val="00547068"/>
    <w:rsid w:val="0055188C"/>
    <w:rsid w:val="00554D73"/>
    <w:rsid w:val="005568F2"/>
    <w:rsid w:val="00557C05"/>
    <w:rsid w:val="00560A03"/>
    <w:rsid w:val="00563CB2"/>
    <w:rsid w:val="00565ECC"/>
    <w:rsid w:val="005757ED"/>
    <w:rsid w:val="00580CAD"/>
    <w:rsid w:val="00581649"/>
    <w:rsid w:val="00581D27"/>
    <w:rsid w:val="00582A4D"/>
    <w:rsid w:val="00586F9D"/>
    <w:rsid w:val="0059084A"/>
    <w:rsid w:val="00591174"/>
    <w:rsid w:val="00591A14"/>
    <w:rsid w:val="005921DF"/>
    <w:rsid w:val="00592C11"/>
    <w:rsid w:val="00593882"/>
    <w:rsid w:val="005950F2"/>
    <w:rsid w:val="0059740A"/>
    <w:rsid w:val="005A0CD8"/>
    <w:rsid w:val="005A1730"/>
    <w:rsid w:val="005A1DAE"/>
    <w:rsid w:val="005A60E5"/>
    <w:rsid w:val="005B011F"/>
    <w:rsid w:val="005B0D6B"/>
    <w:rsid w:val="005B1EAD"/>
    <w:rsid w:val="005B1F1A"/>
    <w:rsid w:val="005B3A43"/>
    <w:rsid w:val="005B65E2"/>
    <w:rsid w:val="005C16EB"/>
    <w:rsid w:val="005C1E79"/>
    <w:rsid w:val="005C2ADE"/>
    <w:rsid w:val="005C4DB4"/>
    <w:rsid w:val="005C6854"/>
    <w:rsid w:val="005D2842"/>
    <w:rsid w:val="005D4BF3"/>
    <w:rsid w:val="005D4DAA"/>
    <w:rsid w:val="005D6147"/>
    <w:rsid w:val="005D6A57"/>
    <w:rsid w:val="005E0297"/>
    <w:rsid w:val="005E173A"/>
    <w:rsid w:val="005E35AD"/>
    <w:rsid w:val="005E3FD6"/>
    <w:rsid w:val="005F0DD8"/>
    <w:rsid w:val="005F277A"/>
    <w:rsid w:val="005F2CBE"/>
    <w:rsid w:val="005F3371"/>
    <w:rsid w:val="005F4F34"/>
    <w:rsid w:val="005F58F5"/>
    <w:rsid w:val="005F6FA2"/>
    <w:rsid w:val="006029FD"/>
    <w:rsid w:val="00605334"/>
    <w:rsid w:val="006122C6"/>
    <w:rsid w:val="0061295E"/>
    <w:rsid w:val="006230ED"/>
    <w:rsid w:val="00626AC8"/>
    <w:rsid w:val="00627D79"/>
    <w:rsid w:val="00630309"/>
    <w:rsid w:val="00630D9B"/>
    <w:rsid w:val="00630E2B"/>
    <w:rsid w:val="0063509F"/>
    <w:rsid w:val="006431A6"/>
    <w:rsid w:val="00645965"/>
    <w:rsid w:val="0065023C"/>
    <w:rsid w:val="00651276"/>
    <w:rsid w:val="00651C14"/>
    <w:rsid w:val="00657E39"/>
    <w:rsid w:val="00663A53"/>
    <w:rsid w:val="006640BA"/>
    <w:rsid w:val="006651EA"/>
    <w:rsid w:val="0066719E"/>
    <w:rsid w:val="006709A8"/>
    <w:rsid w:val="006724EC"/>
    <w:rsid w:val="00674CF9"/>
    <w:rsid w:val="00675DC7"/>
    <w:rsid w:val="006760D7"/>
    <w:rsid w:val="00680AFE"/>
    <w:rsid w:val="00681810"/>
    <w:rsid w:val="00681C19"/>
    <w:rsid w:val="00683676"/>
    <w:rsid w:val="0068509E"/>
    <w:rsid w:val="00685A1E"/>
    <w:rsid w:val="006926DA"/>
    <w:rsid w:val="00694098"/>
    <w:rsid w:val="00694243"/>
    <w:rsid w:val="006960A5"/>
    <w:rsid w:val="00697E31"/>
    <w:rsid w:val="006A00FF"/>
    <w:rsid w:val="006A03C2"/>
    <w:rsid w:val="006A15D7"/>
    <w:rsid w:val="006A2226"/>
    <w:rsid w:val="006A2CF6"/>
    <w:rsid w:val="006A3BE6"/>
    <w:rsid w:val="006A3D56"/>
    <w:rsid w:val="006A4062"/>
    <w:rsid w:val="006B1E3D"/>
    <w:rsid w:val="006B3C08"/>
    <w:rsid w:val="006B3CCC"/>
    <w:rsid w:val="006B4B74"/>
    <w:rsid w:val="006B5358"/>
    <w:rsid w:val="006B60C4"/>
    <w:rsid w:val="006C28EF"/>
    <w:rsid w:val="006C4EB9"/>
    <w:rsid w:val="006D4894"/>
    <w:rsid w:val="006D4E73"/>
    <w:rsid w:val="006D4F50"/>
    <w:rsid w:val="006D556D"/>
    <w:rsid w:val="006E1493"/>
    <w:rsid w:val="006E2075"/>
    <w:rsid w:val="006E5CFB"/>
    <w:rsid w:val="006E784F"/>
    <w:rsid w:val="00701665"/>
    <w:rsid w:val="0070225E"/>
    <w:rsid w:val="007025B3"/>
    <w:rsid w:val="00702B1A"/>
    <w:rsid w:val="00706EAA"/>
    <w:rsid w:val="00711B84"/>
    <w:rsid w:val="00715CFC"/>
    <w:rsid w:val="0072017E"/>
    <w:rsid w:val="0072104F"/>
    <w:rsid w:val="00730BC3"/>
    <w:rsid w:val="00731330"/>
    <w:rsid w:val="007355C2"/>
    <w:rsid w:val="00735953"/>
    <w:rsid w:val="0073662F"/>
    <w:rsid w:val="00743FB7"/>
    <w:rsid w:val="00747B9E"/>
    <w:rsid w:val="00750AA5"/>
    <w:rsid w:val="00751E68"/>
    <w:rsid w:val="00755350"/>
    <w:rsid w:val="007560EF"/>
    <w:rsid w:val="00760447"/>
    <w:rsid w:val="00765F79"/>
    <w:rsid w:val="00772E88"/>
    <w:rsid w:val="007772BD"/>
    <w:rsid w:val="00777E51"/>
    <w:rsid w:val="007830D4"/>
    <w:rsid w:val="00783681"/>
    <w:rsid w:val="00783921"/>
    <w:rsid w:val="0078534E"/>
    <w:rsid w:val="00785CFC"/>
    <w:rsid w:val="0078640E"/>
    <w:rsid w:val="00790FAF"/>
    <w:rsid w:val="00792A48"/>
    <w:rsid w:val="0079307A"/>
    <w:rsid w:val="00793AAC"/>
    <w:rsid w:val="00794779"/>
    <w:rsid w:val="0079689D"/>
    <w:rsid w:val="007A289B"/>
    <w:rsid w:val="007A37C6"/>
    <w:rsid w:val="007A4F52"/>
    <w:rsid w:val="007A5E55"/>
    <w:rsid w:val="007B0AE4"/>
    <w:rsid w:val="007B1F16"/>
    <w:rsid w:val="007B34BF"/>
    <w:rsid w:val="007B60D4"/>
    <w:rsid w:val="007B6D26"/>
    <w:rsid w:val="007C0C6A"/>
    <w:rsid w:val="007C1EA7"/>
    <w:rsid w:val="007C5ECA"/>
    <w:rsid w:val="007C7DCF"/>
    <w:rsid w:val="007D1190"/>
    <w:rsid w:val="007D1379"/>
    <w:rsid w:val="007D2505"/>
    <w:rsid w:val="007D419F"/>
    <w:rsid w:val="007D47D8"/>
    <w:rsid w:val="007D4B90"/>
    <w:rsid w:val="007D5992"/>
    <w:rsid w:val="007D603E"/>
    <w:rsid w:val="007E0680"/>
    <w:rsid w:val="007E0771"/>
    <w:rsid w:val="007E1B8A"/>
    <w:rsid w:val="007E376F"/>
    <w:rsid w:val="007E3D54"/>
    <w:rsid w:val="007E6A99"/>
    <w:rsid w:val="00804652"/>
    <w:rsid w:val="00804A1D"/>
    <w:rsid w:val="008065B2"/>
    <w:rsid w:val="0081164E"/>
    <w:rsid w:val="00811EFE"/>
    <w:rsid w:val="0081300D"/>
    <w:rsid w:val="00814AAF"/>
    <w:rsid w:val="0081670B"/>
    <w:rsid w:val="00822869"/>
    <w:rsid w:val="008319C1"/>
    <w:rsid w:val="00832424"/>
    <w:rsid w:val="00836DDF"/>
    <w:rsid w:val="00841AEE"/>
    <w:rsid w:val="00842623"/>
    <w:rsid w:val="00842C64"/>
    <w:rsid w:val="00843C55"/>
    <w:rsid w:val="00844873"/>
    <w:rsid w:val="00844C1C"/>
    <w:rsid w:val="00844E8D"/>
    <w:rsid w:val="00845090"/>
    <w:rsid w:val="008450B0"/>
    <w:rsid w:val="00845178"/>
    <w:rsid w:val="00850BE6"/>
    <w:rsid w:val="00852C3F"/>
    <w:rsid w:val="0085310E"/>
    <w:rsid w:val="00856F96"/>
    <w:rsid w:val="008627B7"/>
    <w:rsid w:val="00863BA6"/>
    <w:rsid w:val="008655FC"/>
    <w:rsid w:val="008662A9"/>
    <w:rsid w:val="00866672"/>
    <w:rsid w:val="008675EF"/>
    <w:rsid w:val="008719B1"/>
    <w:rsid w:val="00873406"/>
    <w:rsid w:val="008747D4"/>
    <w:rsid w:val="00875B4D"/>
    <w:rsid w:val="00876628"/>
    <w:rsid w:val="00880C16"/>
    <w:rsid w:val="00882E54"/>
    <w:rsid w:val="0088324F"/>
    <w:rsid w:val="00884983"/>
    <w:rsid w:val="00886E4C"/>
    <w:rsid w:val="00890878"/>
    <w:rsid w:val="00893DA7"/>
    <w:rsid w:val="0089416D"/>
    <w:rsid w:val="008942C8"/>
    <w:rsid w:val="0089642A"/>
    <w:rsid w:val="008A0562"/>
    <w:rsid w:val="008A2F51"/>
    <w:rsid w:val="008A586D"/>
    <w:rsid w:val="008A6ED1"/>
    <w:rsid w:val="008A739D"/>
    <w:rsid w:val="008B29AB"/>
    <w:rsid w:val="008B71C0"/>
    <w:rsid w:val="008C1040"/>
    <w:rsid w:val="008C239B"/>
    <w:rsid w:val="008C4A4F"/>
    <w:rsid w:val="008C4DF0"/>
    <w:rsid w:val="008C769A"/>
    <w:rsid w:val="008D0AEF"/>
    <w:rsid w:val="008D5DF2"/>
    <w:rsid w:val="008D61A9"/>
    <w:rsid w:val="008D72F1"/>
    <w:rsid w:val="008D7AAA"/>
    <w:rsid w:val="008E1F17"/>
    <w:rsid w:val="008E3E44"/>
    <w:rsid w:val="008E3F82"/>
    <w:rsid w:val="008E60B1"/>
    <w:rsid w:val="008F0735"/>
    <w:rsid w:val="008F1745"/>
    <w:rsid w:val="008F34E3"/>
    <w:rsid w:val="008F3B7E"/>
    <w:rsid w:val="008F7424"/>
    <w:rsid w:val="00900F53"/>
    <w:rsid w:val="009037F9"/>
    <w:rsid w:val="00906A87"/>
    <w:rsid w:val="00907F86"/>
    <w:rsid w:val="00911DB7"/>
    <w:rsid w:val="0091654D"/>
    <w:rsid w:val="00922A7F"/>
    <w:rsid w:val="00927591"/>
    <w:rsid w:val="009276AF"/>
    <w:rsid w:val="0093310C"/>
    <w:rsid w:val="00933F1B"/>
    <w:rsid w:val="0093460E"/>
    <w:rsid w:val="009368DD"/>
    <w:rsid w:val="00945E8C"/>
    <w:rsid w:val="00947809"/>
    <w:rsid w:val="00947A84"/>
    <w:rsid w:val="00950A90"/>
    <w:rsid w:val="00952AE2"/>
    <w:rsid w:val="00955E89"/>
    <w:rsid w:val="00956C5D"/>
    <w:rsid w:val="0096027E"/>
    <w:rsid w:val="00964C37"/>
    <w:rsid w:val="009660EB"/>
    <w:rsid w:val="00966321"/>
    <w:rsid w:val="00970A32"/>
    <w:rsid w:val="0097321B"/>
    <w:rsid w:val="00973C81"/>
    <w:rsid w:val="00974F02"/>
    <w:rsid w:val="00976B0D"/>
    <w:rsid w:val="00977D66"/>
    <w:rsid w:val="00980919"/>
    <w:rsid w:val="00982C91"/>
    <w:rsid w:val="00983C16"/>
    <w:rsid w:val="0098548E"/>
    <w:rsid w:val="009872F9"/>
    <w:rsid w:val="00987649"/>
    <w:rsid w:val="0099084F"/>
    <w:rsid w:val="00990EB0"/>
    <w:rsid w:val="0099189B"/>
    <w:rsid w:val="00991BDE"/>
    <w:rsid w:val="00997E1C"/>
    <w:rsid w:val="009A0C08"/>
    <w:rsid w:val="009A2116"/>
    <w:rsid w:val="009A5CD7"/>
    <w:rsid w:val="009B533C"/>
    <w:rsid w:val="009B54CD"/>
    <w:rsid w:val="009C1DB3"/>
    <w:rsid w:val="009C22B7"/>
    <w:rsid w:val="009C3833"/>
    <w:rsid w:val="009C3C91"/>
    <w:rsid w:val="009C4838"/>
    <w:rsid w:val="009C5721"/>
    <w:rsid w:val="009D2EA7"/>
    <w:rsid w:val="009D4191"/>
    <w:rsid w:val="009D581E"/>
    <w:rsid w:val="009E0EA5"/>
    <w:rsid w:val="009E3ADF"/>
    <w:rsid w:val="009E3D1A"/>
    <w:rsid w:val="009E63FA"/>
    <w:rsid w:val="009F163C"/>
    <w:rsid w:val="009F3670"/>
    <w:rsid w:val="009F3AB1"/>
    <w:rsid w:val="009F4426"/>
    <w:rsid w:val="009F6715"/>
    <w:rsid w:val="00A0197C"/>
    <w:rsid w:val="00A02313"/>
    <w:rsid w:val="00A0338B"/>
    <w:rsid w:val="00A05F28"/>
    <w:rsid w:val="00A06D22"/>
    <w:rsid w:val="00A12C5E"/>
    <w:rsid w:val="00A16255"/>
    <w:rsid w:val="00A16D66"/>
    <w:rsid w:val="00A202A0"/>
    <w:rsid w:val="00A21DC1"/>
    <w:rsid w:val="00A24D0E"/>
    <w:rsid w:val="00A25265"/>
    <w:rsid w:val="00A27AB6"/>
    <w:rsid w:val="00A27CB0"/>
    <w:rsid w:val="00A32097"/>
    <w:rsid w:val="00A335A4"/>
    <w:rsid w:val="00A36F73"/>
    <w:rsid w:val="00A432ED"/>
    <w:rsid w:val="00A443FF"/>
    <w:rsid w:val="00A46A51"/>
    <w:rsid w:val="00A470F4"/>
    <w:rsid w:val="00A5069B"/>
    <w:rsid w:val="00A527BF"/>
    <w:rsid w:val="00A52E10"/>
    <w:rsid w:val="00A537AC"/>
    <w:rsid w:val="00A541CB"/>
    <w:rsid w:val="00A5674D"/>
    <w:rsid w:val="00A5759C"/>
    <w:rsid w:val="00A65529"/>
    <w:rsid w:val="00A71ED2"/>
    <w:rsid w:val="00A758E5"/>
    <w:rsid w:val="00A77407"/>
    <w:rsid w:val="00A8450D"/>
    <w:rsid w:val="00A86E32"/>
    <w:rsid w:val="00A9065A"/>
    <w:rsid w:val="00A923D9"/>
    <w:rsid w:val="00A930B4"/>
    <w:rsid w:val="00A9477C"/>
    <w:rsid w:val="00A97D1A"/>
    <w:rsid w:val="00AA0007"/>
    <w:rsid w:val="00AA09DC"/>
    <w:rsid w:val="00AA3C92"/>
    <w:rsid w:val="00AA523B"/>
    <w:rsid w:val="00AA64FF"/>
    <w:rsid w:val="00AB17C7"/>
    <w:rsid w:val="00AB201F"/>
    <w:rsid w:val="00AB243E"/>
    <w:rsid w:val="00AB65BA"/>
    <w:rsid w:val="00AC11DB"/>
    <w:rsid w:val="00AC2E96"/>
    <w:rsid w:val="00AC2FC4"/>
    <w:rsid w:val="00AC3308"/>
    <w:rsid w:val="00AC7A0D"/>
    <w:rsid w:val="00AC7F1D"/>
    <w:rsid w:val="00AD42A8"/>
    <w:rsid w:val="00AD490B"/>
    <w:rsid w:val="00AE1D6E"/>
    <w:rsid w:val="00AE2794"/>
    <w:rsid w:val="00AE2D44"/>
    <w:rsid w:val="00AE3002"/>
    <w:rsid w:val="00AE3F17"/>
    <w:rsid w:val="00AE4DE4"/>
    <w:rsid w:val="00AE53B6"/>
    <w:rsid w:val="00AE6041"/>
    <w:rsid w:val="00AE7CA6"/>
    <w:rsid w:val="00AF0B32"/>
    <w:rsid w:val="00AF2D90"/>
    <w:rsid w:val="00AF621B"/>
    <w:rsid w:val="00AF67B2"/>
    <w:rsid w:val="00AF69EF"/>
    <w:rsid w:val="00B01F73"/>
    <w:rsid w:val="00B06965"/>
    <w:rsid w:val="00B07973"/>
    <w:rsid w:val="00B112FC"/>
    <w:rsid w:val="00B13249"/>
    <w:rsid w:val="00B16431"/>
    <w:rsid w:val="00B16859"/>
    <w:rsid w:val="00B20574"/>
    <w:rsid w:val="00B272EA"/>
    <w:rsid w:val="00B316D6"/>
    <w:rsid w:val="00B32D1B"/>
    <w:rsid w:val="00B33E3B"/>
    <w:rsid w:val="00B344A6"/>
    <w:rsid w:val="00B35CEC"/>
    <w:rsid w:val="00B40590"/>
    <w:rsid w:val="00B406A5"/>
    <w:rsid w:val="00B40E46"/>
    <w:rsid w:val="00B413FE"/>
    <w:rsid w:val="00B427DB"/>
    <w:rsid w:val="00B51C55"/>
    <w:rsid w:val="00B53242"/>
    <w:rsid w:val="00B60241"/>
    <w:rsid w:val="00B62AC1"/>
    <w:rsid w:val="00B7088A"/>
    <w:rsid w:val="00B71FF0"/>
    <w:rsid w:val="00B7233B"/>
    <w:rsid w:val="00B758C7"/>
    <w:rsid w:val="00B766C6"/>
    <w:rsid w:val="00B80D43"/>
    <w:rsid w:val="00B81005"/>
    <w:rsid w:val="00B857D5"/>
    <w:rsid w:val="00B9017D"/>
    <w:rsid w:val="00B918A6"/>
    <w:rsid w:val="00B93741"/>
    <w:rsid w:val="00BA3C52"/>
    <w:rsid w:val="00BA5BE7"/>
    <w:rsid w:val="00BB3B4D"/>
    <w:rsid w:val="00BB460B"/>
    <w:rsid w:val="00BB5A6B"/>
    <w:rsid w:val="00BB743B"/>
    <w:rsid w:val="00BC12C2"/>
    <w:rsid w:val="00BC1EB4"/>
    <w:rsid w:val="00BC25A3"/>
    <w:rsid w:val="00BC3C66"/>
    <w:rsid w:val="00BC4086"/>
    <w:rsid w:val="00BC42BC"/>
    <w:rsid w:val="00BC66E1"/>
    <w:rsid w:val="00BD0C34"/>
    <w:rsid w:val="00BD33F2"/>
    <w:rsid w:val="00BD474E"/>
    <w:rsid w:val="00BD5898"/>
    <w:rsid w:val="00BE0B99"/>
    <w:rsid w:val="00BE316A"/>
    <w:rsid w:val="00BE368A"/>
    <w:rsid w:val="00BE5292"/>
    <w:rsid w:val="00BE6B01"/>
    <w:rsid w:val="00BE7556"/>
    <w:rsid w:val="00BE7C7B"/>
    <w:rsid w:val="00BF2114"/>
    <w:rsid w:val="00BF4F6E"/>
    <w:rsid w:val="00C01DF6"/>
    <w:rsid w:val="00C141B6"/>
    <w:rsid w:val="00C16E1F"/>
    <w:rsid w:val="00C17B0E"/>
    <w:rsid w:val="00C20C42"/>
    <w:rsid w:val="00C2163F"/>
    <w:rsid w:val="00C240ED"/>
    <w:rsid w:val="00C24C8B"/>
    <w:rsid w:val="00C24F28"/>
    <w:rsid w:val="00C2606E"/>
    <w:rsid w:val="00C30776"/>
    <w:rsid w:val="00C31385"/>
    <w:rsid w:val="00C3169E"/>
    <w:rsid w:val="00C400C6"/>
    <w:rsid w:val="00C4090E"/>
    <w:rsid w:val="00C40DF5"/>
    <w:rsid w:val="00C4121C"/>
    <w:rsid w:val="00C44550"/>
    <w:rsid w:val="00C45225"/>
    <w:rsid w:val="00C50309"/>
    <w:rsid w:val="00C53F7C"/>
    <w:rsid w:val="00C546D2"/>
    <w:rsid w:val="00C55AC0"/>
    <w:rsid w:val="00C55C54"/>
    <w:rsid w:val="00C57CB4"/>
    <w:rsid w:val="00C57DE8"/>
    <w:rsid w:val="00C61026"/>
    <w:rsid w:val="00C626CA"/>
    <w:rsid w:val="00C62E49"/>
    <w:rsid w:val="00C7137B"/>
    <w:rsid w:val="00C7640F"/>
    <w:rsid w:val="00C77F4C"/>
    <w:rsid w:val="00C805CE"/>
    <w:rsid w:val="00C82138"/>
    <w:rsid w:val="00C847A4"/>
    <w:rsid w:val="00C84A34"/>
    <w:rsid w:val="00C85D4C"/>
    <w:rsid w:val="00C86E82"/>
    <w:rsid w:val="00C92450"/>
    <w:rsid w:val="00C934BA"/>
    <w:rsid w:val="00C93C63"/>
    <w:rsid w:val="00C94804"/>
    <w:rsid w:val="00C95053"/>
    <w:rsid w:val="00C95272"/>
    <w:rsid w:val="00C95A31"/>
    <w:rsid w:val="00C96968"/>
    <w:rsid w:val="00C96FD1"/>
    <w:rsid w:val="00CA12B7"/>
    <w:rsid w:val="00CA19FE"/>
    <w:rsid w:val="00CA44B0"/>
    <w:rsid w:val="00CA53F1"/>
    <w:rsid w:val="00CA64D5"/>
    <w:rsid w:val="00CB2EEA"/>
    <w:rsid w:val="00CB426A"/>
    <w:rsid w:val="00CB4743"/>
    <w:rsid w:val="00CB48F4"/>
    <w:rsid w:val="00CB4A44"/>
    <w:rsid w:val="00CB712F"/>
    <w:rsid w:val="00CC09FC"/>
    <w:rsid w:val="00CC0BA7"/>
    <w:rsid w:val="00CC2583"/>
    <w:rsid w:val="00CC3533"/>
    <w:rsid w:val="00CC4240"/>
    <w:rsid w:val="00CC478C"/>
    <w:rsid w:val="00CC4E0D"/>
    <w:rsid w:val="00CC7A35"/>
    <w:rsid w:val="00CD0F21"/>
    <w:rsid w:val="00CD4A34"/>
    <w:rsid w:val="00CD6143"/>
    <w:rsid w:val="00CE1930"/>
    <w:rsid w:val="00CE26A6"/>
    <w:rsid w:val="00CE3B9E"/>
    <w:rsid w:val="00CE60D6"/>
    <w:rsid w:val="00CE659B"/>
    <w:rsid w:val="00CF574D"/>
    <w:rsid w:val="00CF65F6"/>
    <w:rsid w:val="00D00B1B"/>
    <w:rsid w:val="00D01966"/>
    <w:rsid w:val="00D11806"/>
    <w:rsid w:val="00D14A59"/>
    <w:rsid w:val="00D1599E"/>
    <w:rsid w:val="00D20EB6"/>
    <w:rsid w:val="00D22980"/>
    <w:rsid w:val="00D27F11"/>
    <w:rsid w:val="00D30104"/>
    <w:rsid w:val="00D30625"/>
    <w:rsid w:val="00D313E7"/>
    <w:rsid w:val="00D33458"/>
    <w:rsid w:val="00D33E41"/>
    <w:rsid w:val="00D37886"/>
    <w:rsid w:val="00D472B2"/>
    <w:rsid w:val="00D504BE"/>
    <w:rsid w:val="00D52D52"/>
    <w:rsid w:val="00D551B9"/>
    <w:rsid w:val="00D5574E"/>
    <w:rsid w:val="00D5600A"/>
    <w:rsid w:val="00D56956"/>
    <w:rsid w:val="00D63836"/>
    <w:rsid w:val="00D648C2"/>
    <w:rsid w:val="00D66C8C"/>
    <w:rsid w:val="00D70E5B"/>
    <w:rsid w:val="00D71AE7"/>
    <w:rsid w:val="00D73009"/>
    <w:rsid w:val="00D73B80"/>
    <w:rsid w:val="00D744FD"/>
    <w:rsid w:val="00D77787"/>
    <w:rsid w:val="00D8087C"/>
    <w:rsid w:val="00D83707"/>
    <w:rsid w:val="00D85684"/>
    <w:rsid w:val="00D90373"/>
    <w:rsid w:val="00D91CA6"/>
    <w:rsid w:val="00D92AB8"/>
    <w:rsid w:val="00D93665"/>
    <w:rsid w:val="00D95807"/>
    <w:rsid w:val="00DA2424"/>
    <w:rsid w:val="00DA2644"/>
    <w:rsid w:val="00DA4566"/>
    <w:rsid w:val="00DB5816"/>
    <w:rsid w:val="00DB6714"/>
    <w:rsid w:val="00DB6990"/>
    <w:rsid w:val="00DC49C0"/>
    <w:rsid w:val="00DC5F04"/>
    <w:rsid w:val="00DD10CB"/>
    <w:rsid w:val="00DD2360"/>
    <w:rsid w:val="00DD657E"/>
    <w:rsid w:val="00DD6A63"/>
    <w:rsid w:val="00DE0CF9"/>
    <w:rsid w:val="00DE10ED"/>
    <w:rsid w:val="00DE32D6"/>
    <w:rsid w:val="00DE4C63"/>
    <w:rsid w:val="00DE72D5"/>
    <w:rsid w:val="00DF035F"/>
    <w:rsid w:val="00DF200A"/>
    <w:rsid w:val="00DF544B"/>
    <w:rsid w:val="00E04519"/>
    <w:rsid w:val="00E04EA8"/>
    <w:rsid w:val="00E07576"/>
    <w:rsid w:val="00E10DA9"/>
    <w:rsid w:val="00E15263"/>
    <w:rsid w:val="00E15BA1"/>
    <w:rsid w:val="00E20738"/>
    <w:rsid w:val="00E2082A"/>
    <w:rsid w:val="00E22F76"/>
    <w:rsid w:val="00E24872"/>
    <w:rsid w:val="00E25687"/>
    <w:rsid w:val="00E26369"/>
    <w:rsid w:val="00E26FD8"/>
    <w:rsid w:val="00E3109F"/>
    <w:rsid w:val="00E323CD"/>
    <w:rsid w:val="00E34924"/>
    <w:rsid w:val="00E35609"/>
    <w:rsid w:val="00E4139D"/>
    <w:rsid w:val="00E457A4"/>
    <w:rsid w:val="00E45DE6"/>
    <w:rsid w:val="00E5175D"/>
    <w:rsid w:val="00E5211B"/>
    <w:rsid w:val="00E52B38"/>
    <w:rsid w:val="00E52D34"/>
    <w:rsid w:val="00E53F26"/>
    <w:rsid w:val="00E540EE"/>
    <w:rsid w:val="00E56161"/>
    <w:rsid w:val="00E57E8A"/>
    <w:rsid w:val="00E61F2F"/>
    <w:rsid w:val="00E65198"/>
    <w:rsid w:val="00E711E8"/>
    <w:rsid w:val="00E74F89"/>
    <w:rsid w:val="00E766F0"/>
    <w:rsid w:val="00E77C2B"/>
    <w:rsid w:val="00E85F02"/>
    <w:rsid w:val="00E863A5"/>
    <w:rsid w:val="00E8682F"/>
    <w:rsid w:val="00E9291B"/>
    <w:rsid w:val="00E93E5C"/>
    <w:rsid w:val="00E9527E"/>
    <w:rsid w:val="00EA0673"/>
    <w:rsid w:val="00EA16D5"/>
    <w:rsid w:val="00EA41A8"/>
    <w:rsid w:val="00EB1D11"/>
    <w:rsid w:val="00EB57B8"/>
    <w:rsid w:val="00EB6468"/>
    <w:rsid w:val="00EB66F8"/>
    <w:rsid w:val="00EB7EED"/>
    <w:rsid w:val="00EB7F7A"/>
    <w:rsid w:val="00EC115E"/>
    <w:rsid w:val="00EC2AAB"/>
    <w:rsid w:val="00EC4205"/>
    <w:rsid w:val="00EC4D85"/>
    <w:rsid w:val="00EC6197"/>
    <w:rsid w:val="00EC7E2C"/>
    <w:rsid w:val="00ED1A47"/>
    <w:rsid w:val="00ED1F3C"/>
    <w:rsid w:val="00ED2CA6"/>
    <w:rsid w:val="00ED3EF2"/>
    <w:rsid w:val="00ED58DA"/>
    <w:rsid w:val="00ED795D"/>
    <w:rsid w:val="00ED7B70"/>
    <w:rsid w:val="00EE64E0"/>
    <w:rsid w:val="00EE661D"/>
    <w:rsid w:val="00EF2173"/>
    <w:rsid w:val="00EF661F"/>
    <w:rsid w:val="00EF799E"/>
    <w:rsid w:val="00F01A50"/>
    <w:rsid w:val="00F036F8"/>
    <w:rsid w:val="00F036FC"/>
    <w:rsid w:val="00F046B8"/>
    <w:rsid w:val="00F04CCB"/>
    <w:rsid w:val="00F0559C"/>
    <w:rsid w:val="00F0634C"/>
    <w:rsid w:val="00F06ADE"/>
    <w:rsid w:val="00F07639"/>
    <w:rsid w:val="00F105A3"/>
    <w:rsid w:val="00F13CEF"/>
    <w:rsid w:val="00F166E6"/>
    <w:rsid w:val="00F20469"/>
    <w:rsid w:val="00F20977"/>
    <w:rsid w:val="00F20CAF"/>
    <w:rsid w:val="00F315BD"/>
    <w:rsid w:val="00F31FBE"/>
    <w:rsid w:val="00F3366C"/>
    <w:rsid w:val="00F34675"/>
    <w:rsid w:val="00F35336"/>
    <w:rsid w:val="00F36B4B"/>
    <w:rsid w:val="00F4012A"/>
    <w:rsid w:val="00F40A09"/>
    <w:rsid w:val="00F43014"/>
    <w:rsid w:val="00F44553"/>
    <w:rsid w:val="00F44B1A"/>
    <w:rsid w:val="00F472A7"/>
    <w:rsid w:val="00F47479"/>
    <w:rsid w:val="00F47552"/>
    <w:rsid w:val="00F50341"/>
    <w:rsid w:val="00F51AB3"/>
    <w:rsid w:val="00F53742"/>
    <w:rsid w:val="00F57957"/>
    <w:rsid w:val="00F61F5E"/>
    <w:rsid w:val="00F65FDE"/>
    <w:rsid w:val="00F709E2"/>
    <w:rsid w:val="00F71002"/>
    <w:rsid w:val="00F71B20"/>
    <w:rsid w:val="00F73FBE"/>
    <w:rsid w:val="00F74B50"/>
    <w:rsid w:val="00F759DB"/>
    <w:rsid w:val="00F7788E"/>
    <w:rsid w:val="00F85238"/>
    <w:rsid w:val="00F86A5C"/>
    <w:rsid w:val="00F87DB3"/>
    <w:rsid w:val="00F90602"/>
    <w:rsid w:val="00F90F23"/>
    <w:rsid w:val="00F91E1A"/>
    <w:rsid w:val="00F94A62"/>
    <w:rsid w:val="00F95BA4"/>
    <w:rsid w:val="00F969B4"/>
    <w:rsid w:val="00F971D4"/>
    <w:rsid w:val="00F97361"/>
    <w:rsid w:val="00FA1F65"/>
    <w:rsid w:val="00FA2233"/>
    <w:rsid w:val="00FA62B1"/>
    <w:rsid w:val="00FB16F8"/>
    <w:rsid w:val="00FB18F1"/>
    <w:rsid w:val="00FB301C"/>
    <w:rsid w:val="00FB4FBF"/>
    <w:rsid w:val="00FB56AB"/>
    <w:rsid w:val="00FC20A0"/>
    <w:rsid w:val="00FD26C9"/>
    <w:rsid w:val="00FD4301"/>
    <w:rsid w:val="00FD44D7"/>
    <w:rsid w:val="00FD54BB"/>
    <w:rsid w:val="00FE0611"/>
    <w:rsid w:val="00FE0E02"/>
    <w:rsid w:val="00FE2769"/>
    <w:rsid w:val="00FE31A2"/>
    <w:rsid w:val="00FE3900"/>
    <w:rsid w:val="00FE3A06"/>
    <w:rsid w:val="00FE678F"/>
    <w:rsid w:val="00FE6AC7"/>
    <w:rsid w:val="00FF0554"/>
    <w:rsid w:val="00FF1F67"/>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9C26"/>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99"/>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character" w:customStyle="1" w:styleId="ref-title">
    <w:name w:val="ref-title"/>
    <w:basedOn w:val="DefaultParagraphFont"/>
    <w:rsid w:val="00B6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9675">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58773889">
      <w:bodyDiv w:val="1"/>
      <w:marLeft w:val="0"/>
      <w:marRight w:val="0"/>
      <w:marTop w:val="0"/>
      <w:marBottom w:val="0"/>
      <w:divBdr>
        <w:top w:val="none" w:sz="0" w:space="0" w:color="auto"/>
        <w:left w:val="none" w:sz="0" w:space="0" w:color="auto"/>
        <w:bottom w:val="none" w:sz="0" w:space="0" w:color="auto"/>
        <w:right w:val="none" w:sz="0" w:space="0" w:color="auto"/>
      </w:divBdr>
    </w:div>
    <w:div w:id="1201213207">
      <w:bodyDiv w:val="1"/>
      <w:marLeft w:val="0"/>
      <w:marRight w:val="0"/>
      <w:marTop w:val="0"/>
      <w:marBottom w:val="0"/>
      <w:divBdr>
        <w:top w:val="none" w:sz="0" w:space="0" w:color="auto"/>
        <w:left w:val="none" w:sz="0" w:space="0" w:color="auto"/>
        <w:bottom w:val="none" w:sz="0" w:space="0" w:color="auto"/>
        <w:right w:val="none" w:sz="0" w:space="0" w:color="auto"/>
      </w:divBdr>
    </w:div>
    <w:div w:id="20013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nalsofintensivecare.springeropen.com/articles/10.1186/s13613-019-0540-9" TargetMode="External"/><Relationship Id="rId18" Type="http://schemas.openxmlformats.org/officeDocument/2006/relationships/hyperlink" Target="https://pubmed.ncbi.nlm.nih.gov/24352484/" TargetMode="External"/><Relationship Id="rId26" Type="http://schemas.openxmlformats.org/officeDocument/2006/relationships/hyperlink" Target="https://www.atsjournals.org/doi/abs/10.1164/rccm.2020C1" TargetMode="External"/><Relationship Id="rId39" Type="http://schemas.openxmlformats.org/officeDocument/2006/relationships/hyperlink" Target="https://cdn.ymaws.com/npiap.com/resource/resmgr/online_store/posters/npiap_pip_tips_-_proning_202.pdf" TargetMode="External"/><Relationship Id="rId21" Type="http://schemas.openxmlformats.org/officeDocument/2006/relationships/hyperlink" Target="https://pubmed.ncbi.nlm.nih.gov/33644805/" TargetMode="External"/><Relationship Id="rId34" Type="http://schemas.openxmlformats.org/officeDocument/2006/relationships/hyperlink" Target="https://pubmed.ncbi.nlm.nih.gov/29166261/"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rontiersin.org/articles/10.3389/fmed.2020.558696/full" TargetMode="External"/><Relationship Id="rId20" Type="http://schemas.openxmlformats.org/officeDocument/2006/relationships/hyperlink" Target="https://pubmed.ncbi.nlm.nih.gov/32868735/" TargetMode="External"/><Relationship Id="rId29" Type="http://schemas.openxmlformats.org/officeDocument/2006/relationships/hyperlink" Target="https://pubmed.ncbi.nlm.nih.gov/3344646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200005043421801" TargetMode="External"/><Relationship Id="rId24" Type="http://schemas.openxmlformats.org/officeDocument/2006/relationships/hyperlink" Target="https://pubmed.ncbi.nlm.nih.gov/27749790/" TargetMode="External"/><Relationship Id="rId32" Type="http://schemas.openxmlformats.org/officeDocument/2006/relationships/hyperlink" Target="https://pubmed.ncbi.nlm.nih.gov/32355967/" TargetMode="External"/><Relationship Id="rId37" Type="http://schemas.openxmlformats.org/officeDocument/2006/relationships/hyperlink" Target="https://www.aonl.org/news/voice/sept-2020/building-capacity-in-a-pandemic"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ubmed.ncbi.nlm.nih.gov/26493592/" TargetMode="External"/><Relationship Id="rId23" Type="http://schemas.openxmlformats.org/officeDocument/2006/relationships/hyperlink" Target="https://www.elsevier.com/solutions/clinical-skills" TargetMode="External"/><Relationship Id="rId28" Type="http://schemas.openxmlformats.org/officeDocument/2006/relationships/hyperlink" Target="https://www.nejm.org/doi/full/10.1056/nejmoa1214103" TargetMode="External"/><Relationship Id="rId36" Type="http://schemas.openxmlformats.org/officeDocument/2006/relationships/hyperlink" Target="https://pubmed.ncbi.nlm.nih.gov/32530776/" TargetMode="External"/><Relationship Id="rId10" Type="http://schemas.openxmlformats.org/officeDocument/2006/relationships/hyperlink" Target="https://jamanetwork.com/journals/jama/article-abstract/1160659'" TargetMode="External"/><Relationship Id="rId19" Type="http://schemas.openxmlformats.org/officeDocument/2006/relationships/hyperlink" Target="https://pubmed.ncbi.nlm.nih.gov/31789984/" TargetMode="External"/><Relationship Id="rId31" Type="http://schemas.openxmlformats.org/officeDocument/2006/relationships/hyperlink" Target="https://pubmed.ncbi.nlm.nih.gov/326184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bmed.ncbi.nlm.nih.gov/25922713/" TargetMode="External"/><Relationship Id="rId22" Type="http://schemas.openxmlformats.org/officeDocument/2006/relationships/hyperlink" Target="https://pubmed.ncbi.nlm.nih.gov/34310362/" TargetMode="External"/><Relationship Id="rId27" Type="http://schemas.openxmlformats.org/officeDocument/2006/relationships/hyperlink" Target="https://pubmed.ncbi.nlm.nih.gov/30523012/" TargetMode="External"/><Relationship Id="rId30" Type="http://schemas.openxmlformats.org/officeDocument/2006/relationships/hyperlink" Target="https://pubmed.ncbi.nlm.nih.gov/32861885/" TargetMode="External"/><Relationship Id="rId35" Type="http://schemas.openxmlformats.org/officeDocument/2006/relationships/hyperlink" Target="https://pubmed.ncbi.nlm.nih.gov/24901936/"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bmjopenrespres.bmj.com/content/6/1/e000420" TargetMode="External"/><Relationship Id="rId17" Type="http://schemas.openxmlformats.org/officeDocument/2006/relationships/hyperlink" Target="https://pubmed.ncbi.nlm.nih.gov/29068269/" TargetMode="External"/><Relationship Id="rId25" Type="http://schemas.openxmlformats.org/officeDocument/2006/relationships/hyperlink" Target="https://pubmed.ncbi.nlm.nih.gov/32222812/" TargetMode="External"/><Relationship Id="rId33" Type="http://schemas.openxmlformats.org/officeDocument/2006/relationships/hyperlink" Target="https://pubmed.ncbi.nlm.nih.gov/33129414/" TargetMode="External"/><Relationship Id="rId38" Type="http://schemas.openxmlformats.org/officeDocument/2006/relationships/hyperlink" Target="https://www.midasplus.com/Overvie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478</cp:revision>
  <dcterms:created xsi:type="dcterms:W3CDTF">2022-05-24T21:09:00Z</dcterms:created>
  <dcterms:modified xsi:type="dcterms:W3CDTF">2022-05-31T17:59:00Z</dcterms:modified>
</cp:coreProperties>
</file>