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5AD67" w14:textId="77777777" w:rsidR="004506F2" w:rsidRPr="004F5370" w:rsidRDefault="004506F2" w:rsidP="004506F2">
      <w:pPr>
        <w:contextualSpacing/>
        <w:mirrorIndents/>
        <w:jc w:val="both"/>
        <w:rPr>
          <w:b/>
          <w:sz w:val="22"/>
          <w:szCs w:val="22"/>
        </w:rPr>
      </w:pPr>
      <w:bookmarkStart w:id="0" w:name="_Hlk67163465"/>
      <w:bookmarkStart w:id="1" w:name="_Hlk77934542"/>
      <w:r w:rsidRPr="004F5370">
        <w:rPr>
          <w:b/>
          <w:sz w:val="22"/>
          <w:szCs w:val="22"/>
        </w:rPr>
        <w:t>Research Article</w:t>
      </w:r>
    </w:p>
    <w:p w14:paraId="686A4612" w14:textId="77777777" w:rsidR="004506F2" w:rsidRPr="008D3E65" w:rsidRDefault="004506F2" w:rsidP="004506F2">
      <w:pPr>
        <w:contextualSpacing/>
        <w:mirrorIndents/>
        <w:jc w:val="both"/>
        <w:rPr>
          <w:sz w:val="20"/>
          <w:szCs w:val="20"/>
        </w:rPr>
      </w:pPr>
    </w:p>
    <w:p w14:paraId="078F66EC" w14:textId="77777777" w:rsidR="003F7BFA" w:rsidRPr="00F0016B" w:rsidRDefault="003F7BFA" w:rsidP="003F7BFA">
      <w:pPr>
        <w:contextualSpacing/>
        <w:mirrorIndents/>
        <w:jc w:val="center"/>
        <w:rPr>
          <w:b/>
          <w:sz w:val="30"/>
          <w:szCs w:val="30"/>
        </w:rPr>
      </w:pPr>
      <w:r w:rsidRPr="00F0016B">
        <w:rPr>
          <w:b/>
          <w:sz w:val="30"/>
          <w:szCs w:val="30"/>
        </w:rPr>
        <w:t>Characteristics Associated with COVID-19 Related Dysphagia: A Retrospective Study</w:t>
      </w:r>
    </w:p>
    <w:p w14:paraId="6D2BE46E" w14:textId="77777777" w:rsidR="004506F2" w:rsidRPr="008D3E65" w:rsidRDefault="004506F2" w:rsidP="004506F2">
      <w:pPr>
        <w:contextualSpacing/>
        <w:mirrorIndents/>
        <w:jc w:val="both"/>
        <w:rPr>
          <w:sz w:val="20"/>
          <w:szCs w:val="20"/>
        </w:rPr>
      </w:pPr>
    </w:p>
    <w:p w14:paraId="1FB2EB5C" w14:textId="316B8B79" w:rsidR="004A475A" w:rsidRPr="004A475A" w:rsidRDefault="00DB4A94" w:rsidP="004A475A">
      <w:pPr>
        <w:contextualSpacing/>
        <w:mirrorIndents/>
        <w:jc w:val="both"/>
        <w:rPr>
          <w:b/>
          <w:sz w:val="22"/>
          <w:szCs w:val="22"/>
        </w:rPr>
      </w:pPr>
      <w:r>
        <w:rPr>
          <w:b/>
          <w:sz w:val="22"/>
          <w:szCs w:val="22"/>
        </w:rPr>
        <w:t>Catherine Crowley, PhD, CCC-SLP</w:t>
      </w:r>
      <w:r w:rsidR="00952988" w:rsidRPr="00427FD7">
        <w:rPr>
          <w:b/>
          <w:color w:val="FF0000"/>
          <w:sz w:val="22"/>
          <w:szCs w:val="22"/>
          <w:vertAlign w:val="superscript"/>
        </w:rPr>
        <w:t>1</w:t>
      </w:r>
      <w:r w:rsidR="004A475A" w:rsidRPr="00825FB9">
        <w:rPr>
          <w:b/>
          <w:color w:val="FF0000"/>
          <w:sz w:val="22"/>
          <w:szCs w:val="22"/>
          <w:vertAlign w:val="superscript"/>
        </w:rPr>
        <w:t>#</w:t>
      </w:r>
      <w:r w:rsidR="004A475A">
        <w:rPr>
          <w:b/>
          <w:sz w:val="22"/>
          <w:szCs w:val="22"/>
        </w:rPr>
        <w:t xml:space="preserve">, </w:t>
      </w:r>
      <w:r w:rsidR="003E3F04" w:rsidRPr="003E3F04">
        <w:rPr>
          <w:b/>
          <w:sz w:val="22"/>
          <w:szCs w:val="22"/>
        </w:rPr>
        <w:t>Kristin Beadle, M.S., CCC-SLP, CLT</w:t>
      </w:r>
      <w:r w:rsidR="00577B8E" w:rsidRPr="00EE78AD">
        <w:rPr>
          <w:b/>
          <w:color w:val="FF0000"/>
          <w:sz w:val="22"/>
          <w:szCs w:val="22"/>
          <w:vertAlign w:val="superscript"/>
        </w:rPr>
        <w:t>1</w:t>
      </w:r>
      <w:r w:rsidR="003E3F04">
        <w:rPr>
          <w:b/>
          <w:sz w:val="22"/>
          <w:szCs w:val="22"/>
        </w:rPr>
        <w:t xml:space="preserve">, </w:t>
      </w:r>
      <w:proofErr w:type="spellStart"/>
      <w:r w:rsidR="00560E25" w:rsidRPr="00560E25">
        <w:rPr>
          <w:b/>
          <w:sz w:val="22"/>
          <w:szCs w:val="22"/>
        </w:rPr>
        <w:t>Husneara</w:t>
      </w:r>
      <w:proofErr w:type="spellEnd"/>
      <w:r w:rsidR="00560E25" w:rsidRPr="00560E25">
        <w:rPr>
          <w:b/>
          <w:sz w:val="22"/>
          <w:szCs w:val="22"/>
        </w:rPr>
        <w:t xml:space="preserve"> Rahman, PhD</w:t>
      </w:r>
      <w:r w:rsidR="00577B8E" w:rsidRPr="00A0769A">
        <w:rPr>
          <w:b/>
          <w:color w:val="FF0000"/>
          <w:sz w:val="22"/>
          <w:szCs w:val="22"/>
          <w:vertAlign w:val="superscript"/>
        </w:rPr>
        <w:t>1</w:t>
      </w:r>
    </w:p>
    <w:p w14:paraId="0C14DC79" w14:textId="77777777" w:rsidR="004506F2" w:rsidRDefault="004506F2" w:rsidP="004506F2">
      <w:pPr>
        <w:contextualSpacing/>
        <w:mirrorIndents/>
        <w:jc w:val="both"/>
        <w:rPr>
          <w:sz w:val="20"/>
          <w:szCs w:val="20"/>
        </w:rPr>
      </w:pPr>
    </w:p>
    <w:p w14:paraId="175AC209" w14:textId="7F093EA6" w:rsidR="004506F2" w:rsidRDefault="009A6B50" w:rsidP="004506F2">
      <w:pPr>
        <w:contextualSpacing/>
        <w:mirrorIndents/>
        <w:jc w:val="both"/>
        <w:rPr>
          <w:sz w:val="20"/>
          <w:szCs w:val="20"/>
        </w:rPr>
      </w:pPr>
      <w:r w:rsidRPr="0040309D">
        <w:rPr>
          <w:color w:val="FF0000"/>
          <w:sz w:val="20"/>
          <w:szCs w:val="20"/>
          <w:vertAlign w:val="superscript"/>
        </w:rPr>
        <w:t>1</w:t>
      </w:r>
      <w:r w:rsidR="0040309D" w:rsidRPr="0040309D">
        <w:rPr>
          <w:color w:val="FF0000"/>
          <w:sz w:val="20"/>
          <w:szCs w:val="20"/>
          <w:vertAlign w:val="superscript"/>
        </w:rPr>
        <w:t>#</w:t>
      </w:r>
      <w:r w:rsidRPr="009A6B50">
        <w:rPr>
          <w:sz w:val="20"/>
          <w:szCs w:val="20"/>
        </w:rPr>
        <w:t>Department of Otolaryngology, Long Island Jewish Medical Center</w:t>
      </w:r>
      <w:r w:rsidR="0061285A">
        <w:rPr>
          <w:sz w:val="20"/>
          <w:szCs w:val="20"/>
        </w:rPr>
        <w:t xml:space="preserve">, </w:t>
      </w:r>
      <w:r w:rsidR="00DA490E">
        <w:rPr>
          <w:sz w:val="20"/>
          <w:szCs w:val="20"/>
        </w:rPr>
        <w:t>New York, USA</w:t>
      </w:r>
    </w:p>
    <w:p w14:paraId="20B56456" w14:textId="2EADEE42" w:rsidR="00001B7F" w:rsidRDefault="006E0188" w:rsidP="004506F2">
      <w:pPr>
        <w:contextualSpacing/>
        <w:mirrorIndents/>
        <w:jc w:val="both"/>
        <w:rPr>
          <w:sz w:val="20"/>
          <w:szCs w:val="20"/>
        </w:rPr>
      </w:pPr>
      <w:r w:rsidRPr="00E5484E">
        <w:rPr>
          <w:color w:val="FF0000"/>
          <w:sz w:val="20"/>
          <w:szCs w:val="20"/>
          <w:vertAlign w:val="superscript"/>
        </w:rPr>
        <w:t>2</w:t>
      </w:r>
      <w:r w:rsidR="009B2D03" w:rsidRPr="009B2D03">
        <w:rPr>
          <w:sz w:val="20"/>
          <w:szCs w:val="20"/>
        </w:rPr>
        <w:t xml:space="preserve">Feinstein Institute for Medical Research, Biostatistics Unit, </w:t>
      </w:r>
      <w:r w:rsidR="00AF7287">
        <w:rPr>
          <w:sz w:val="20"/>
          <w:szCs w:val="20"/>
        </w:rPr>
        <w:t>New York, USA</w:t>
      </w:r>
    </w:p>
    <w:p w14:paraId="0FD28FF7" w14:textId="77777777" w:rsidR="004506F2" w:rsidRPr="008D3E65" w:rsidRDefault="004506F2" w:rsidP="004506F2">
      <w:pPr>
        <w:contextualSpacing/>
        <w:mirrorIndents/>
        <w:jc w:val="both"/>
        <w:rPr>
          <w:sz w:val="20"/>
          <w:szCs w:val="20"/>
        </w:rPr>
      </w:pPr>
    </w:p>
    <w:p w14:paraId="6B8ABB11" w14:textId="6F958CCE" w:rsidR="000E4C9C" w:rsidRDefault="004506F2" w:rsidP="004506F2">
      <w:pPr>
        <w:contextualSpacing/>
        <w:mirrorIndents/>
        <w:jc w:val="both"/>
        <w:rPr>
          <w:sz w:val="20"/>
          <w:szCs w:val="20"/>
        </w:rPr>
      </w:pPr>
      <w:r w:rsidRPr="008D3E65">
        <w:rPr>
          <w:b/>
          <w:color w:val="FF0000"/>
          <w:sz w:val="20"/>
          <w:szCs w:val="20"/>
          <w:vertAlign w:val="superscript"/>
        </w:rPr>
        <w:t>#</w:t>
      </w:r>
      <w:r w:rsidRPr="008D3E65">
        <w:rPr>
          <w:b/>
          <w:sz w:val="20"/>
          <w:szCs w:val="20"/>
        </w:rPr>
        <w:t xml:space="preserve">Corresponding author: </w:t>
      </w:r>
      <w:r w:rsidR="007700E2">
        <w:rPr>
          <w:sz w:val="20"/>
          <w:szCs w:val="20"/>
        </w:rPr>
        <w:t>Catherine Crowley, PhD, CCC-SLP</w:t>
      </w:r>
      <w:r w:rsidR="00ED306E">
        <w:rPr>
          <w:sz w:val="20"/>
          <w:szCs w:val="20"/>
        </w:rPr>
        <w:t xml:space="preserve">, </w:t>
      </w:r>
      <w:r w:rsidR="000E4C9C" w:rsidRPr="000E4C9C">
        <w:rPr>
          <w:sz w:val="20"/>
          <w:szCs w:val="20"/>
        </w:rPr>
        <w:t xml:space="preserve">Department of Otolaryngology, Long Island Jewish Medical Center, 430 Lakeville Road, New Hyde Park, </w:t>
      </w:r>
      <w:r w:rsidR="00EE5C2F">
        <w:rPr>
          <w:sz w:val="20"/>
          <w:szCs w:val="20"/>
        </w:rPr>
        <w:t>New York</w:t>
      </w:r>
      <w:r w:rsidR="000E4C9C" w:rsidRPr="000E4C9C">
        <w:rPr>
          <w:sz w:val="20"/>
          <w:szCs w:val="20"/>
        </w:rPr>
        <w:t xml:space="preserve"> 11040 USA</w:t>
      </w:r>
    </w:p>
    <w:p w14:paraId="5747AE86" w14:textId="77777777" w:rsidR="000C4780" w:rsidRPr="008D3E65" w:rsidRDefault="000C4780" w:rsidP="004506F2">
      <w:pPr>
        <w:contextualSpacing/>
        <w:mirrorIndents/>
        <w:jc w:val="both"/>
        <w:rPr>
          <w:sz w:val="20"/>
          <w:szCs w:val="20"/>
        </w:rPr>
      </w:pPr>
      <w:bookmarkStart w:id="2" w:name="_GoBack"/>
      <w:bookmarkEnd w:id="2"/>
    </w:p>
    <w:p w14:paraId="37A69E46" w14:textId="697F939C" w:rsidR="004506F2" w:rsidRDefault="004506F2" w:rsidP="004506F2">
      <w:pPr>
        <w:contextualSpacing/>
        <w:mirrorIndents/>
        <w:jc w:val="both"/>
        <w:rPr>
          <w:sz w:val="20"/>
          <w:szCs w:val="20"/>
        </w:rPr>
      </w:pPr>
      <w:r w:rsidRPr="008D3E65">
        <w:rPr>
          <w:b/>
          <w:sz w:val="20"/>
          <w:szCs w:val="20"/>
        </w:rPr>
        <w:t>How to cite this article:</w:t>
      </w:r>
      <w:r w:rsidRPr="008D3E65">
        <w:rPr>
          <w:sz w:val="20"/>
          <w:szCs w:val="20"/>
        </w:rPr>
        <w:t xml:space="preserve"> </w:t>
      </w:r>
      <w:r w:rsidR="00D564B4" w:rsidRPr="00D564B4">
        <w:rPr>
          <w:sz w:val="20"/>
          <w:szCs w:val="20"/>
        </w:rPr>
        <w:t>Crowley</w:t>
      </w:r>
      <w:r w:rsidR="0024126C">
        <w:rPr>
          <w:sz w:val="20"/>
          <w:szCs w:val="20"/>
        </w:rPr>
        <w:t xml:space="preserve"> C</w:t>
      </w:r>
      <w:r w:rsidR="00D564B4">
        <w:rPr>
          <w:sz w:val="20"/>
          <w:szCs w:val="20"/>
        </w:rPr>
        <w:t xml:space="preserve">, </w:t>
      </w:r>
      <w:r w:rsidR="0065449D" w:rsidRPr="0065449D">
        <w:rPr>
          <w:sz w:val="20"/>
          <w:szCs w:val="20"/>
        </w:rPr>
        <w:t>Beadle</w:t>
      </w:r>
      <w:r w:rsidR="0024126C">
        <w:rPr>
          <w:sz w:val="20"/>
          <w:szCs w:val="20"/>
        </w:rPr>
        <w:t xml:space="preserve"> K</w:t>
      </w:r>
      <w:r w:rsidR="0065449D">
        <w:rPr>
          <w:sz w:val="20"/>
          <w:szCs w:val="20"/>
        </w:rPr>
        <w:t xml:space="preserve">, </w:t>
      </w:r>
      <w:proofErr w:type="gramStart"/>
      <w:r w:rsidR="00484A5B" w:rsidRPr="00484A5B">
        <w:rPr>
          <w:sz w:val="20"/>
          <w:szCs w:val="20"/>
        </w:rPr>
        <w:t>Rahman</w:t>
      </w:r>
      <w:proofErr w:type="gramEnd"/>
      <w:r w:rsidR="00484A5B" w:rsidRPr="00484A5B">
        <w:rPr>
          <w:sz w:val="20"/>
          <w:szCs w:val="20"/>
        </w:rPr>
        <w:t xml:space="preserve"> </w:t>
      </w:r>
      <w:r w:rsidR="0024126C">
        <w:rPr>
          <w:sz w:val="20"/>
          <w:szCs w:val="20"/>
        </w:rPr>
        <w:t xml:space="preserve">H </w:t>
      </w:r>
      <w:r w:rsidRPr="008D3E65">
        <w:rPr>
          <w:sz w:val="20"/>
          <w:szCs w:val="20"/>
        </w:rPr>
        <w:t xml:space="preserve">(2021) </w:t>
      </w:r>
      <w:r w:rsidR="00BB7F97" w:rsidRPr="00BB7F97">
        <w:rPr>
          <w:sz w:val="20"/>
          <w:szCs w:val="20"/>
        </w:rPr>
        <w:t>Characteristics Associated with COVID-19 Related Dysphagia: A Retrospective Study</w:t>
      </w:r>
      <w:r w:rsidRPr="008D3E65">
        <w:rPr>
          <w:sz w:val="20"/>
          <w:szCs w:val="20"/>
        </w:rPr>
        <w:t xml:space="preserve">. </w:t>
      </w:r>
      <w:proofErr w:type="spellStart"/>
      <w:r w:rsidRPr="008D3E65">
        <w:rPr>
          <w:sz w:val="20"/>
          <w:szCs w:val="20"/>
        </w:rPr>
        <w:t>Int</w:t>
      </w:r>
      <w:proofErr w:type="spellEnd"/>
      <w:r w:rsidRPr="008D3E65">
        <w:rPr>
          <w:sz w:val="20"/>
          <w:szCs w:val="20"/>
        </w:rPr>
        <w:t xml:space="preserve"> J </w:t>
      </w:r>
      <w:proofErr w:type="spellStart"/>
      <w:r w:rsidRPr="008D3E65">
        <w:rPr>
          <w:sz w:val="20"/>
          <w:szCs w:val="20"/>
        </w:rPr>
        <w:t>Nurs</w:t>
      </w:r>
      <w:proofErr w:type="spellEnd"/>
      <w:r>
        <w:rPr>
          <w:sz w:val="20"/>
          <w:szCs w:val="20"/>
        </w:rPr>
        <w:t xml:space="preserve"> </w:t>
      </w:r>
      <w:r w:rsidR="008613D1">
        <w:rPr>
          <w:sz w:val="20"/>
          <w:szCs w:val="20"/>
        </w:rPr>
        <w:t xml:space="preserve">&amp; </w:t>
      </w:r>
      <w:proofErr w:type="spellStart"/>
      <w:r w:rsidR="008613D1">
        <w:rPr>
          <w:sz w:val="20"/>
          <w:szCs w:val="20"/>
        </w:rPr>
        <w:t>Healt</w:t>
      </w:r>
      <w:proofErr w:type="spellEnd"/>
      <w:r w:rsidR="008613D1">
        <w:rPr>
          <w:sz w:val="20"/>
          <w:szCs w:val="20"/>
        </w:rPr>
        <w:t xml:space="preserve"> Car </w:t>
      </w:r>
      <w:proofErr w:type="spellStart"/>
      <w:r w:rsidR="008613D1">
        <w:rPr>
          <w:sz w:val="20"/>
          <w:szCs w:val="20"/>
        </w:rPr>
        <w:t>Scie</w:t>
      </w:r>
      <w:proofErr w:type="spellEnd"/>
      <w:r w:rsidR="008613D1">
        <w:rPr>
          <w:sz w:val="20"/>
          <w:szCs w:val="20"/>
        </w:rPr>
        <w:t xml:space="preserve"> 01(1</w:t>
      </w:r>
      <w:r w:rsidR="005A05B5">
        <w:rPr>
          <w:sz w:val="20"/>
          <w:szCs w:val="20"/>
        </w:rPr>
        <w:t>5</w:t>
      </w:r>
      <w:r w:rsidR="008613D1">
        <w:rPr>
          <w:sz w:val="20"/>
          <w:szCs w:val="20"/>
        </w:rPr>
        <w:t>): 2021-</w:t>
      </w:r>
      <w:r w:rsidR="005B34E9">
        <w:rPr>
          <w:sz w:val="20"/>
          <w:szCs w:val="20"/>
        </w:rPr>
        <w:t>89</w:t>
      </w:r>
      <w:r w:rsidRPr="008D3E65">
        <w:rPr>
          <w:sz w:val="20"/>
          <w:szCs w:val="20"/>
        </w:rPr>
        <w:t>.</w:t>
      </w:r>
    </w:p>
    <w:p w14:paraId="0E12A419" w14:textId="77777777" w:rsidR="004506F2" w:rsidRPr="008D3E65" w:rsidRDefault="004506F2" w:rsidP="004506F2">
      <w:pPr>
        <w:contextualSpacing/>
        <w:mirrorIndents/>
        <w:jc w:val="both"/>
        <w:rPr>
          <w:sz w:val="20"/>
          <w:szCs w:val="20"/>
        </w:rPr>
      </w:pPr>
    </w:p>
    <w:p w14:paraId="7C2DFD30" w14:textId="6084E15E" w:rsidR="004506F2" w:rsidRPr="008D3E65" w:rsidRDefault="004506F2" w:rsidP="004506F2">
      <w:pPr>
        <w:contextualSpacing/>
        <w:mirrorIndents/>
        <w:jc w:val="both"/>
        <w:rPr>
          <w:sz w:val="20"/>
          <w:szCs w:val="20"/>
        </w:rPr>
      </w:pPr>
      <w:r w:rsidRPr="008D3E65">
        <w:rPr>
          <w:b/>
          <w:sz w:val="20"/>
          <w:szCs w:val="20"/>
        </w:rPr>
        <w:t>Submission Date:</w:t>
      </w:r>
      <w:r w:rsidRPr="008D3E65">
        <w:rPr>
          <w:sz w:val="20"/>
          <w:szCs w:val="20"/>
        </w:rPr>
        <w:t xml:space="preserve"> </w:t>
      </w:r>
      <w:r w:rsidR="00C35C3E">
        <w:rPr>
          <w:sz w:val="20"/>
          <w:szCs w:val="20"/>
        </w:rPr>
        <w:t>29 September</w:t>
      </w:r>
      <w:r w:rsidRPr="008D3E65">
        <w:rPr>
          <w:sz w:val="20"/>
          <w:szCs w:val="20"/>
        </w:rPr>
        <w:t xml:space="preserve">, 2021; </w:t>
      </w:r>
      <w:r w:rsidRPr="008D3E65">
        <w:rPr>
          <w:b/>
          <w:sz w:val="20"/>
          <w:szCs w:val="20"/>
        </w:rPr>
        <w:t>Accepted Date:</w:t>
      </w:r>
      <w:r w:rsidRPr="008D3E65">
        <w:rPr>
          <w:sz w:val="20"/>
          <w:szCs w:val="20"/>
        </w:rPr>
        <w:t xml:space="preserve"> </w:t>
      </w:r>
      <w:r w:rsidR="00240F5D">
        <w:rPr>
          <w:sz w:val="20"/>
          <w:szCs w:val="20"/>
        </w:rPr>
        <w:t>08</w:t>
      </w:r>
      <w:r w:rsidR="00C84729">
        <w:rPr>
          <w:sz w:val="20"/>
          <w:szCs w:val="20"/>
        </w:rPr>
        <w:t xml:space="preserve"> October</w:t>
      </w:r>
      <w:r w:rsidRPr="008D3E65">
        <w:rPr>
          <w:sz w:val="20"/>
          <w:szCs w:val="20"/>
        </w:rPr>
        <w:t xml:space="preserve">, 2021; </w:t>
      </w:r>
      <w:r w:rsidRPr="008D3E65">
        <w:rPr>
          <w:b/>
          <w:sz w:val="20"/>
          <w:szCs w:val="20"/>
        </w:rPr>
        <w:t>Published Online:</w:t>
      </w:r>
      <w:r w:rsidRPr="008D3E65">
        <w:rPr>
          <w:sz w:val="20"/>
          <w:szCs w:val="20"/>
        </w:rPr>
        <w:t xml:space="preserve"> </w:t>
      </w:r>
      <w:r w:rsidR="00ED2BCA">
        <w:rPr>
          <w:sz w:val="20"/>
          <w:szCs w:val="20"/>
        </w:rPr>
        <w:t>14 October</w:t>
      </w:r>
      <w:r w:rsidRPr="008D3E65">
        <w:rPr>
          <w:sz w:val="20"/>
          <w:szCs w:val="20"/>
        </w:rPr>
        <w:t>, 2021</w:t>
      </w:r>
    </w:p>
    <w:bookmarkEnd w:id="0"/>
    <w:bookmarkEnd w:id="1"/>
    <w:p w14:paraId="375C7536" w14:textId="129C0C45" w:rsidR="00ED4C45" w:rsidRPr="0020208F" w:rsidRDefault="00ED4C45" w:rsidP="00ED4C45">
      <w:pPr>
        <w:contextualSpacing/>
        <w:mirrorIndents/>
        <w:jc w:val="both"/>
        <w:rPr>
          <w:sz w:val="20"/>
          <w:szCs w:val="20"/>
        </w:rPr>
      </w:pPr>
      <w:r w:rsidRPr="0020208F">
        <w:rPr>
          <w:sz w:val="20"/>
          <w:szCs w:val="20"/>
        </w:rPr>
        <w:softHyphen/>
      </w:r>
      <w:r w:rsidRPr="0020208F">
        <w:rPr>
          <w:sz w:val="20"/>
          <w:szCs w:val="20"/>
        </w:rPr>
        <w:softHyphen/>
      </w:r>
      <w:r w:rsidRPr="0020208F">
        <w:rPr>
          <w:sz w:val="20"/>
          <w:szCs w:val="20"/>
        </w:rPr>
        <w:softHyphen/>
      </w:r>
      <w:r w:rsidRPr="0020208F">
        <w:rPr>
          <w:sz w:val="20"/>
          <w:szCs w:val="20"/>
        </w:rPr>
        <w:softHyphen/>
      </w:r>
      <w:r w:rsidRPr="0020208F">
        <w:rPr>
          <w:sz w:val="20"/>
          <w:szCs w:val="20"/>
        </w:rPr>
        <w:softHyphen/>
      </w:r>
      <w:r w:rsidRPr="0020208F">
        <w:rPr>
          <w:sz w:val="20"/>
          <w:szCs w:val="20"/>
        </w:rPr>
        <w:softHyphen/>
      </w:r>
      <w:r w:rsidRPr="0020208F">
        <w:rPr>
          <w:sz w:val="20"/>
          <w:szCs w:val="20"/>
        </w:rPr>
        <w:softHyphen/>
      </w:r>
      <w:r w:rsidRPr="0020208F">
        <w:rPr>
          <w:sz w:val="20"/>
          <w:szCs w:val="20"/>
        </w:rPr>
        <w:softHyphen/>
      </w:r>
      <w:r w:rsidRPr="0020208F">
        <w:rPr>
          <w:sz w:val="20"/>
          <w:szCs w:val="20"/>
        </w:rPr>
        <w:softHyphen/>
      </w:r>
      <w:r w:rsidRPr="0020208F">
        <w:rPr>
          <w:sz w:val="20"/>
          <w:szCs w:val="20"/>
        </w:rPr>
        <w:softHyphen/>
      </w:r>
      <w:r w:rsidRPr="0020208F">
        <w:rPr>
          <w:sz w:val="20"/>
          <w:szCs w:val="20"/>
        </w:rPr>
        <w:softHyphen/>
      </w:r>
    </w:p>
    <w:p w14:paraId="710964E4" w14:textId="77777777" w:rsidR="00ED4C45" w:rsidRPr="0062224D" w:rsidRDefault="00ED4C45" w:rsidP="00ED4C45">
      <w:pPr>
        <w:contextualSpacing/>
        <w:mirrorIndents/>
        <w:jc w:val="both"/>
        <w:rPr>
          <w:b/>
          <w:sz w:val="22"/>
          <w:szCs w:val="22"/>
        </w:rPr>
      </w:pPr>
      <w:r w:rsidRPr="0062224D">
        <w:rPr>
          <w:b/>
          <w:sz w:val="22"/>
          <w:szCs w:val="22"/>
        </w:rPr>
        <w:t>Abstract</w:t>
      </w:r>
    </w:p>
    <w:p w14:paraId="10707B96" w14:textId="77777777" w:rsidR="00ED4C45" w:rsidRPr="0020208F" w:rsidRDefault="00ED4C45" w:rsidP="00ED4C45">
      <w:pPr>
        <w:contextualSpacing/>
        <w:mirrorIndents/>
        <w:jc w:val="both"/>
        <w:rPr>
          <w:sz w:val="20"/>
          <w:szCs w:val="20"/>
        </w:rPr>
      </w:pPr>
    </w:p>
    <w:p w14:paraId="4641ED9A" w14:textId="77777777" w:rsidR="00ED4C45" w:rsidRPr="0020208F" w:rsidRDefault="00ED4C45" w:rsidP="00ED4C45">
      <w:pPr>
        <w:contextualSpacing/>
        <w:mirrorIndents/>
        <w:jc w:val="both"/>
        <w:rPr>
          <w:sz w:val="20"/>
          <w:szCs w:val="20"/>
        </w:rPr>
      </w:pPr>
      <w:r w:rsidRPr="004C6914">
        <w:rPr>
          <w:b/>
          <w:sz w:val="20"/>
          <w:szCs w:val="20"/>
        </w:rPr>
        <w:t>Purpose:</w:t>
      </w:r>
      <w:r>
        <w:rPr>
          <w:sz w:val="20"/>
          <w:szCs w:val="20"/>
        </w:rPr>
        <w:t xml:space="preserve"> </w:t>
      </w:r>
      <w:r w:rsidRPr="0020208F">
        <w:rPr>
          <w:sz w:val="20"/>
          <w:szCs w:val="20"/>
        </w:rPr>
        <w:t xml:space="preserve">The purpose of this study is to investigate the underlying characteristics of the presenting oropharyngeal dysphagia in patients treated for the COVID-19 virus. </w:t>
      </w:r>
    </w:p>
    <w:p w14:paraId="6A450B0E" w14:textId="77777777" w:rsidR="00ED4C45" w:rsidRPr="0020208F" w:rsidRDefault="00ED4C45" w:rsidP="00ED4C45">
      <w:pPr>
        <w:contextualSpacing/>
        <w:mirrorIndents/>
        <w:jc w:val="both"/>
        <w:rPr>
          <w:color w:val="000000"/>
          <w:sz w:val="20"/>
          <w:szCs w:val="20"/>
        </w:rPr>
      </w:pPr>
      <w:r w:rsidRPr="00175E46">
        <w:rPr>
          <w:b/>
          <w:color w:val="000000"/>
          <w:sz w:val="20"/>
          <w:szCs w:val="20"/>
        </w:rPr>
        <w:t>Method:</w:t>
      </w:r>
      <w:r>
        <w:rPr>
          <w:color w:val="000000"/>
          <w:sz w:val="20"/>
          <w:szCs w:val="20"/>
        </w:rPr>
        <w:t xml:space="preserve"> </w:t>
      </w:r>
      <w:r w:rsidRPr="0020208F">
        <w:rPr>
          <w:color w:val="000000"/>
          <w:sz w:val="20"/>
          <w:szCs w:val="20"/>
        </w:rPr>
        <w:t>This is a retrospective study. 39 patients who were sent for a dysphagia clinical evaluation among the admitted patients for COVID-19 related complications were considered for the study. A chart review was conducted to analyze the characteristics of patients with dysphagia. Patient’s age, duration of intubation, presence of dysphagia, and diet recommendation were analyzed.</w:t>
      </w:r>
    </w:p>
    <w:p w14:paraId="75C5F751" w14:textId="77777777" w:rsidR="00ED4C45" w:rsidRPr="0020208F" w:rsidRDefault="00ED4C45" w:rsidP="00ED4C45">
      <w:pPr>
        <w:contextualSpacing/>
        <w:mirrorIndents/>
        <w:jc w:val="both"/>
        <w:rPr>
          <w:color w:val="000000"/>
          <w:sz w:val="20"/>
          <w:szCs w:val="20"/>
        </w:rPr>
      </w:pPr>
      <w:r w:rsidRPr="00105A11">
        <w:rPr>
          <w:b/>
          <w:color w:val="000000"/>
          <w:sz w:val="20"/>
          <w:szCs w:val="20"/>
        </w:rPr>
        <w:t>Background:</w:t>
      </w:r>
      <w:r>
        <w:rPr>
          <w:color w:val="000000"/>
          <w:sz w:val="20"/>
          <w:szCs w:val="20"/>
        </w:rPr>
        <w:t xml:space="preserve"> </w:t>
      </w:r>
      <w:r w:rsidRPr="0020208F">
        <w:rPr>
          <w:sz w:val="20"/>
          <w:szCs w:val="20"/>
        </w:rPr>
        <w:t>Case-load analyses by speech-language pathologists revealed that not all of these recent COVID-19 patients were intubated, suggesting a separate etiology for their presenting dysphagia. To date there have been limited analysis of COVID-19 patients who later present with dysphagia</w:t>
      </w:r>
    </w:p>
    <w:p w14:paraId="46ADD975" w14:textId="77777777" w:rsidR="00ED4C45" w:rsidRPr="0020208F" w:rsidRDefault="00ED4C45" w:rsidP="00ED4C45">
      <w:pPr>
        <w:contextualSpacing/>
        <w:mirrorIndents/>
        <w:jc w:val="both"/>
        <w:rPr>
          <w:sz w:val="20"/>
          <w:szCs w:val="20"/>
        </w:rPr>
      </w:pPr>
      <w:r w:rsidRPr="00F70D21">
        <w:rPr>
          <w:b/>
          <w:sz w:val="20"/>
          <w:szCs w:val="20"/>
        </w:rPr>
        <w:t>Result:</w:t>
      </w:r>
      <w:r>
        <w:rPr>
          <w:sz w:val="20"/>
          <w:szCs w:val="20"/>
        </w:rPr>
        <w:t xml:space="preserve"> </w:t>
      </w:r>
      <w:r w:rsidRPr="0020208F">
        <w:rPr>
          <w:sz w:val="20"/>
          <w:szCs w:val="20"/>
        </w:rPr>
        <w:t xml:space="preserve">Findings of this study revealed that endotracheal intubation and aging were characteristics among </w:t>
      </w:r>
      <w:proofErr w:type="gramStart"/>
      <w:r w:rsidRPr="0020208F">
        <w:rPr>
          <w:sz w:val="20"/>
          <w:szCs w:val="20"/>
        </w:rPr>
        <w:t>individuals</w:t>
      </w:r>
      <w:proofErr w:type="gramEnd"/>
      <w:r w:rsidRPr="0020208F">
        <w:rPr>
          <w:sz w:val="20"/>
          <w:szCs w:val="20"/>
        </w:rPr>
        <w:t xml:space="preserve"> with resultant COVID-19 dysphagia. </w:t>
      </w:r>
      <w:r w:rsidRPr="0020208F">
        <w:rPr>
          <w:color w:val="000000"/>
          <w:sz w:val="20"/>
          <w:szCs w:val="20"/>
        </w:rPr>
        <w:t>We also observed that a higher proportion of intubated patients required nothing per oral as compared to the non-intubated patients. Patients who required nothing per oral status had higher median age as compared to the patients with diet per oral.</w:t>
      </w:r>
      <w:r w:rsidRPr="0020208F">
        <w:rPr>
          <w:sz w:val="20"/>
          <w:szCs w:val="20"/>
        </w:rPr>
        <w:t xml:space="preserve"> Further the median duration of intubation was higher for patients recommended to be nothing per oral as compared to patients placed on a per oral diet. We also observe smaller duration of intubation for recommended diet category ‘Thin’ and ‘Thick’ than that of patients with nothing per oral status, which indicates that there can be positive association between duration of intubation and the severity of patients’ condition for dysphagia. </w:t>
      </w:r>
    </w:p>
    <w:p w14:paraId="167C413C" w14:textId="77777777" w:rsidR="00ED4C45" w:rsidRPr="0020208F" w:rsidRDefault="00ED4C45" w:rsidP="00ED4C45">
      <w:pPr>
        <w:contextualSpacing/>
        <w:mirrorIndents/>
        <w:jc w:val="both"/>
        <w:rPr>
          <w:sz w:val="20"/>
          <w:szCs w:val="20"/>
        </w:rPr>
      </w:pPr>
      <w:r w:rsidRPr="00F050E5">
        <w:rPr>
          <w:b/>
          <w:sz w:val="20"/>
          <w:szCs w:val="20"/>
        </w:rPr>
        <w:t>Conclusion:</w:t>
      </w:r>
      <w:r>
        <w:rPr>
          <w:sz w:val="20"/>
          <w:szCs w:val="20"/>
        </w:rPr>
        <w:t xml:space="preserve"> </w:t>
      </w:r>
      <w:r w:rsidRPr="0020208F">
        <w:rPr>
          <w:sz w:val="20"/>
          <w:szCs w:val="20"/>
        </w:rPr>
        <w:t xml:space="preserve">Endotracheal intubation was found to be a characteristic in those individuals presenting with an oral and pharyngeal dysphagia. However, almost half of the individuals analyzed in this study did not require intubation but nevertheless presented with a dysphagia. Future research, should consider investigating </w:t>
      </w:r>
      <w:proofErr w:type="spellStart"/>
      <w:r w:rsidRPr="0020208F">
        <w:rPr>
          <w:sz w:val="20"/>
          <w:szCs w:val="20"/>
        </w:rPr>
        <w:t>sarcopenia</w:t>
      </w:r>
      <w:proofErr w:type="spellEnd"/>
      <w:r w:rsidRPr="0020208F">
        <w:rPr>
          <w:sz w:val="20"/>
          <w:szCs w:val="20"/>
        </w:rPr>
        <w:t xml:space="preserve"> as characteristic for COVID related dysphagia.</w:t>
      </w:r>
    </w:p>
    <w:p w14:paraId="37DF6B92" w14:textId="77777777" w:rsidR="00ED4C45" w:rsidRPr="0020208F" w:rsidRDefault="00ED4C45" w:rsidP="00ED4C45">
      <w:pPr>
        <w:contextualSpacing/>
        <w:mirrorIndents/>
        <w:jc w:val="both"/>
        <w:rPr>
          <w:sz w:val="20"/>
          <w:szCs w:val="20"/>
        </w:rPr>
      </w:pPr>
    </w:p>
    <w:p w14:paraId="112E928A" w14:textId="77777777" w:rsidR="00ED4C45" w:rsidRPr="0020208F" w:rsidRDefault="00ED4C45" w:rsidP="00ED4C45">
      <w:pPr>
        <w:contextualSpacing/>
        <w:mirrorIndents/>
        <w:jc w:val="both"/>
        <w:rPr>
          <w:sz w:val="20"/>
          <w:szCs w:val="20"/>
        </w:rPr>
      </w:pPr>
      <w:r w:rsidRPr="00EA6588">
        <w:rPr>
          <w:b/>
          <w:sz w:val="22"/>
          <w:szCs w:val="22"/>
        </w:rPr>
        <w:t>Keywords:</w:t>
      </w:r>
      <w:r>
        <w:rPr>
          <w:sz w:val="20"/>
          <w:szCs w:val="20"/>
        </w:rPr>
        <w:t xml:space="preserve"> </w:t>
      </w:r>
      <w:r w:rsidRPr="0020208F">
        <w:rPr>
          <w:sz w:val="20"/>
          <w:szCs w:val="20"/>
        </w:rPr>
        <w:t>COVID-19</w:t>
      </w:r>
      <w:r>
        <w:rPr>
          <w:sz w:val="20"/>
          <w:szCs w:val="20"/>
        </w:rPr>
        <w:t>;</w:t>
      </w:r>
      <w:r w:rsidRPr="0020208F">
        <w:rPr>
          <w:sz w:val="20"/>
          <w:szCs w:val="20"/>
        </w:rPr>
        <w:t xml:space="preserve"> Dys</w:t>
      </w:r>
      <w:r>
        <w:rPr>
          <w:sz w:val="20"/>
          <w:szCs w:val="20"/>
        </w:rPr>
        <w:t>phagia; E</w:t>
      </w:r>
      <w:r w:rsidRPr="0020208F">
        <w:rPr>
          <w:sz w:val="20"/>
          <w:szCs w:val="20"/>
        </w:rPr>
        <w:t xml:space="preserve">ndotracheal intubation </w:t>
      </w:r>
    </w:p>
    <w:p w14:paraId="42B86B16" w14:textId="77777777" w:rsidR="00ED4C45" w:rsidRPr="0020208F" w:rsidRDefault="00ED4C45" w:rsidP="00ED4C45">
      <w:pPr>
        <w:contextualSpacing/>
        <w:mirrorIndents/>
        <w:jc w:val="both"/>
        <w:rPr>
          <w:sz w:val="20"/>
          <w:szCs w:val="20"/>
        </w:rPr>
      </w:pPr>
    </w:p>
    <w:p w14:paraId="37F0F240" w14:textId="77777777" w:rsidR="00ED4C45" w:rsidRPr="00FA6ACE" w:rsidRDefault="00ED4C45" w:rsidP="00ED4C45">
      <w:pPr>
        <w:contextualSpacing/>
        <w:mirrorIndents/>
        <w:jc w:val="both"/>
        <w:rPr>
          <w:b/>
          <w:sz w:val="22"/>
          <w:szCs w:val="22"/>
        </w:rPr>
      </w:pPr>
      <w:r w:rsidRPr="00FA6ACE">
        <w:rPr>
          <w:b/>
          <w:sz w:val="22"/>
          <w:szCs w:val="22"/>
        </w:rPr>
        <w:t>Introduction</w:t>
      </w:r>
    </w:p>
    <w:p w14:paraId="318A5120" w14:textId="77777777" w:rsidR="00ED4C45" w:rsidRPr="0020208F" w:rsidRDefault="00ED4C45" w:rsidP="00ED4C45">
      <w:pPr>
        <w:contextualSpacing/>
        <w:mirrorIndents/>
        <w:jc w:val="both"/>
        <w:rPr>
          <w:sz w:val="20"/>
          <w:szCs w:val="20"/>
        </w:rPr>
      </w:pPr>
    </w:p>
    <w:p w14:paraId="2DCD5155" w14:textId="77777777" w:rsidR="00160DF0" w:rsidRDefault="00ED4C45" w:rsidP="00ED4C45">
      <w:pPr>
        <w:contextualSpacing/>
        <w:mirrorIndents/>
        <w:jc w:val="both"/>
        <w:rPr>
          <w:sz w:val="20"/>
          <w:szCs w:val="20"/>
        </w:rPr>
      </w:pPr>
      <w:r w:rsidRPr="0020208F">
        <w:rPr>
          <w:sz w:val="20"/>
          <w:szCs w:val="20"/>
        </w:rPr>
        <w:t xml:space="preserve">The novel COVID-19 virus has impacted the medical world and has left many suffering in the wake of its passing. Patients with a more severe clinical course experience acute respiratory distress, requiring hospitalization, with about 5% of patients experiencing respiratory failure requiring intensive care treatments and mechanical ventilation via endotracheal intubation </w:t>
      </w:r>
      <w:r>
        <w:rPr>
          <w:color w:val="FF0000"/>
          <w:sz w:val="20"/>
          <w:szCs w:val="20"/>
        </w:rPr>
        <w:t>[1-3]</w:t>
      </w:r>
      <w:r w:rsidRPr="0020208F">
        <w:rPr>
          <w:sz w:val="20"/>
          <w:szCs w:val="20"/>
        </w:rPr>
        <w:t xml:space="preserve">. The occurrence of dysphagia post intubation is a well-established finding </w:t>
      </w:r>
      <w:r>
        <w:rPr>
          <w:color w:val="FF0000"/>
          <w:sz w:val="20"/>
          <w:szCs w:val="20"/>
        </w:rPr>
        <w:t>[4]</w:t>
      </w:r>
      <w:r w:rsidRPr="0020208F">
        <w:rPr>
          <w:sz w:val="20"/>
          <w:szCs w:val="20"/>
        </w:rPr>
        <w:t xml:space="preserve">, which is more recently clinically supported by the large increase of COVID-19 patients being consulted by speech-language pathologists for swallowing evaluations. Interestingly, case-load analyses by speech-language pathologists revealed that not all of these recent COVID-19 patients were intubated, suggesting a separate etiology </w:t>
      </w:r>
      <w:r w:rsidR="00160DF0">
        <w:rPr>
          <w:sz w:val="20"/>
          <w:szCs w:val="20"/>
        </w:rPr>
        <w:t>for their presenting dysphagia.</w:t>
      </w:r>
    </w:p>
    <w:p w14:paraId="361065AD" w14:textId="77777777" w:rsidR="00160DF0" w:rsidRDefault="00160DF0" w:rsidP="00ED4C45">
      <w:pPr>
        <w:contextualSpacing/>
        <w:mirrorIndents/>
        <w:jc w:val="both"/>
        <w:rPr>
          <w:sz w:val="20"/>
          <w:szCs w:val="20"/>
        </w:rPr>
      </w:pPr>
    </w:p>
    <w:p w14:paraId="2257043B" w14:textId="156F52DA" w:rsidR="00ED4C45" w:rsidRDefault="00ED4C45" w:rsidP="00ED4C45">
      <w:pPr>
        <w:contextualSpacing/>
        <w:mirrorIndents/>
        <w:jc w:val="both"/>
        <w:rPr>
          <w:sz w:val="20"/>
          <w:szCs w:val="20"/>
        </w:rPr>
      </w:pPr>
      <w:r w:rsidRPr="0020208F">
        <w:rPr>
          <w:sz w:val="20"/>
          <w:szCs w:val="20"/>
        </w:rPr>
        <w:t>To date there have been limited analysis of COVID-19 patients who later present with dysphagia. We aim to investigate the underlying characteristics of the presenting oropharyngeal dysphagia in patients</w:t>
      </w:r>
      <w:r w:rsidR="00160DF0">
        <w:rPr>
          <w:sz w:val="20"/>
          <w:szCs w:val="20"/>
        </w:rPr>
        <w:t xml:space="preserve"> treated for COVID-19. </w:t>
      </w:r>
      <w:r w:rsidRPr="0020208F">
        <w:rPr>
          <w:sz w:val="20"/>
          <w:szCs w:val="20"/>
        </w:rPr>
        <w:t>This study will consider the risk factors of endotracheal intervention and aging on the presence of both oral and pharyngeal dysphagia and required diet modification. The ultimate goal is to determine if a dysphagia assessment should be standard of care for all patients in the setting of COVID-19, regardless of history of intubation. The information obtained from this study will significantly improve patient-care practices because without a comprehensive understanding of the characteristics associated with COVID-19 dysphagia, we risk dysphagia being under diagnosed and increase risk of additional medical complications such as aspiration pneumonia, malnutrition, and dehydration. These in turn may result in an increased hospital length of stay.</w:t>
      </w:r>
    </w:p>
    <w:p w14:paraId="7F4A0978" w14:textId="77777777" w:rsidR="00ED4C45" w:rsidRPr="0020208F" w:rsidRDefault="00ED4C45" w:rsidP="00ED4C45">
      <w:pPr>
        <w:contextualSpacing/>
        <w:mirrorIndents/>
        <w:jc w:val="both"/>
        <w:rPr>
          <w:sz w:val="20"/>
          <w:szCs w:val="20"/>
        </w:rPr>
      </w:pPr>
    </w:p>
    <w:p w14:paraId="565A5015" w14:textId="77777777" w:rsidR="00ED4C45" w:rsidRDefault="00ED4C45" w:rsidP="00ED4C45">
      <w:pPr>
        <w:contextualSpacing/>
        <w:mirrorIndents/>
        <w:jc w:val="both"/>
        <w:rPr>
          <w:sz w:val="20"/>
          <w:szCs w:val="20"/>
        </w:rPr>
      </w:pPr>
      <w:r w:rsidRPr="0020208F">
        <w:rPr>
          <w:sz w:val="20"/>
          <w:szCs w:val="20"/>
        </w:rPr>
        <w:t>Endotracheal intubation is a known risk factor for resulting oropharyngeal dysphagia in hospitalized patients. A systemic review reported a 3% to 62% occurrence of post-</w:t>
      </w:r>
      <w:proofErr w:type="spellStart"/>
      <w:r w:rsidRPr="0020208F">
        <w:rPr>
          <w:sz w:val="20"/>
          <w:szCs w:val="20"/>
        </w:rPr>
        <w:t>extubation</w:t>
      </w:r>
      <w:proofErr w:type="spellEnd"/>
      <w:r w:rsidRPr="0020208F">
        <w:rPr>
          <w:sz w:val="20"/>
          <w:szCs w:val="20"/>
        </w:rPr>
        <w:t xml:space="preserve"> dysphagia in the critical care setting, with most studies identifying an incidence of greater than 20% </w:t>
      </w:r>
      <w:r>
        <w:rPr>
          <w:color w:val="FF0000"/>
          <w:sz w:val="20"/>
          <w:szCs w:val="20"/>
        </w:rPr>
        <w:t>[5]</w:t>
      </w:r>
      <w:r w:rsidRPr="0020208F">
        <w:rPr>
          <w:sz w:val="20"/>
          <w:szCs w:val="20"/>
        </w:rPr>
        <w:t xml:space="preserve">. </w:t>
      </w:r>
      <w:r w:rsidRPr="00B953D8">
        <w:rPr>
          <w:sz w:val="20"/>
          <w:szCs w:val="20"/>
        </w:rPr>
        <w:t xml:space="preserve">Kim and colleagues </w:t>
      </w:r>
      <w:r>
        <w:rPr>
          <w:color w:val="FF0000"/>
          <w:sz w:val="20"/>
          <w:szCs w:val="20"/>
        </w:rPr>
        <w:t>[6]</w:t>
      </w:r>
      <w:r w:rsidRPr="0020208F">
        <w:rPr>
          <w:sz w:val="20"/>
          <w:szCs w:val="20"/>
        </w:rPr>
        <w:t xml:space="preserve"> found that 59% of non-neurologic critically ill patients presented with </w:t>
      </w:r>
      <w:proofErr w:type="spellStart"/>
      <w:r w:rsidRPr="0020208F">
        <w:rPr>
          <w:sz w:val="20"/>
          <w:szCs w:val="20"/>
        </w:rPr>
        <w:t>supraglottic</w:t>
      </w:r>
      <w:proofErr w:type="spellEnd"/>
      <w:r w:rsidRPr="0020208F">
        <w:rPr>
          <w:sz w:val="20"/>
          <w:szCs w:val="20"/>
        </w:rPr>
        <w:t xml:space="preserve"> and </w:t>
      </w:r>
      <w:proofErr w:type="spellStart"/>
      <w:r w:rsidRPr="0020208F">
        <w:rPr>
          <w:sz w:val="20"/>
          <w:szCs w:val="20"/>
        </w:rPr>
        <w:t>infraglottic</w:t>
      </w:r>
      <w:proofErr w:type="spellEnd"/>
      <w:r w:rsidRPr="0020208F">
        <w:rPr>
          <w:sz w:val="20"/>
          <w:szCs w:val="20"/>
        </w:rPr>
        <w:t xml:space="preserve"> aspiration post-</w:t>
      </w:r>
      <w:proofErr w:type="spellStart"/>
      <w:r w:rsidRPr="0020208F">
        <w:rPr>
          <w:sz w:val="20"/>
          <w:szCs w:val="20"/>
        </w:rPr>
        <w:t>extubation</w:t>
      </w:r>
      <w:proofErr w:type="spellEnd"/>
      <w:r w:rsidRPr="0020208F">
        <w:rPr>
          <w:sz w:val="20"/>
          <w:szCs w:val="20"/>
        </w:rPr>
        <w:t>.</w:t>
      </w:r>
    </w:p>
    <w:p w14:paraId="61BF0979" w14:textId="77777777" w:rsidR="00ED4C45" w:rsidRPr="0020208F" w:rsidRDefault="00ED4C45" w:rsidP="00ED4C45">
      <w:pPr>
        <w:contextualSpacing/>
        <w:mirrorIndents/>
        <w:jc w:val="both"/>
        <w:rPr>
          <w:sz w:val="20"/>
          <w:szCs w:val="20"/>
        </w:rPr>
      </w:pPr>
    </w:p>
    <w:p w14:paraId="78DB4A9C" w14:textId="77777777" w:rsidR="00ED4C45" w:rsidRPr="0020208F" w:rsidRDefault="00ED4C45" w:rsidP="00ED4C45">
      <w:pPr>
        <w:contextualSpacing/>
        <w:mirrorIndents/>
        <w:jc w:val="both"/>
        <w:rPr>
          <w:sz w:val="20"/>
          <w:szCs w:val="20"/>
        </w:rPr>
      </w:pPr>
      <w:r w:rsidRPr="0020208F">
        <w:rPr>
          <w:sz w:val="20"/>
          <w:szCs w:val="20"/>
        </w:rPr>
        <w:t xml:space="preserve">The pharyngeal stage of the swallow plays the primary role in airway protection, however, the oral stage of swallowing provides crucial steps for safety as well. Both oral and pharyngeal stages of the swallow are susceptible to the effects of intubation. Within the pharyngeal stage, weak vocal fold adduction during the swallow and reduced pharyngeal sensation can be implicated in the pharyngeal dysphagia identified in these individuals. Laryngeal sensory deficits have also been identified post </w:t>
      </w:r>
      <w:proofErr w:type="spellStart"/>
      <w:r w:rsidRPr="0020208F">
        <w:rPr>
          <w:sz w:val="20"/>
          <w:szCs w:val="20"/>
        </w:rPr>
        <w:t>extubation</w:t>
      </w:r>
      <w:proofErr w:type="spellEnd"/>
      <w:r w:rsidRPr="0020208F">
        <w:rPr>
          <w:sz w:val="20"/>
          <w:szCs w:val="20"/>
        </w:rPr>
        <w:t xml:space="preserve"> and associated with aspiration </w:t>
      </w:r>
      <w:r>
        <w:rPr>
          <w:color w:val="FF0000"/>
          <w:sz w:val="20"/>
          <w:szCs w:val="20"/>
        </w:rPr>
        <w:t>[7]</w:t>
      </w:r>
      <w:r w:rsidRPr="0020208F">
        <w:rPr>
          <w:sz w:val="20"/>
          <w:szCs w:val="20"/>
        </w:rPr>
        <w:t>.</w:t>
      </w:r>
      <w:r w:rsidRPr="0020208F">
        <w:rPr>
          <w:color w:val="C0504D" w:themeColor="accent2"/>
          <w:sz w:val="20"/>
          <w:szCs w:val="20"/>
        </w:rPr>
        <w:t xml:space="preserve"> </w:t>
      </w:r>
      <w:r w:rsidRPr="0020208F">
        <w:rPr>
          <w:sz w:val="20"/>
          <w:szCs w:val="20"/>
        </w:rPr>
        <w:t xml:space="preserve">Impaired glottal closure is associated with arytenoid dislocation and subluxation from the endotracheal tube </w:t>
      </w:r>
      <w:r>
        <w:rPr>
          <w:color w:val="FF0000"/>
          <w:sz w:val="20"/>
          <w:szCs w:val="20"/>
        </w:rPr>
        <w:t>[6]</w:t>
      </w:r>
      <w:r w:rsidRPr="0020208F">
        <w:rPr>
          <w:sz w:val="20"/>
          <w:szCs w:val="20"/>
        </w:rPr>
        <w:t>.</w:t>
      </w:r>
      <w:r>
        <w:rPr>
          <w:sz w:val="20"/>
          <w:szCs w:val="20"/>
        </w:rPr>
        <w:t xml:space="preserve"> </w:t>
      </w:r>
      <w:r w:rsidRPr="0020208F">
        <w:rPr>
          <w:sz w:val="20"/>
          <w:szCs w:val="20"/>
        </w:rPr>
        <w:t xml:space="preserve">Adequate vocal fold closure is imperative for airway protection during the swallow, an absence or reduction of that function places the patient at risk for aspiration and by extension aspiration pneumonia. </w:t>
      </w:r>
    </w:p>
    <w:p w14:paraId="0FCA32D8" w14:textId="77777777" w:rsidR="00ED4C45" w:rsidRPr="0020208F" w:rsidRDefault="00ED4C45" w:rsidP="00ED4C45">
      <w:pPr>
        <w:contextualSpacing/>
        <w:mirrorIndents/>
        <w:jc w:val="both"/>
        <w:rPr>
          <w:sz w:val="20"/>
          <w:szCs w:val="20"/>
        </w:rPr>
      </w:pPr>
    </w:p>
    <w:p w14:paraId="5B0D38CC" w14:textId="77777777" w:rsidR="00ED4C45" w:rsidRPr="0020208F" w:rsidRDefault="00ED4C45" w:rsidP="00ED4C45">
      <w:pPr>
        <w:contextualSpacing/>
        <w:mirrorIndents/>
        <w:jc w:val="both"/>
        <w:rPr>
          <w:sz w:val="20"/>
          <w:szCs w:val="20"/>
        </w:rPr>
      </w:pPr>
      <w:r w:rsidRPr="0020208F">
        <w:rPr>
          <w:sz w:val="20"/>
          <w:szCs w:val="20"/>
        </w:rPr>
        <w:t xml:space="preserve">Within the oral stage, the functions of the labial and lingual movements ensure adequate bolus collection, formation and containment, and anterior-posterior propulsion into the pharyngeal cavity. Specific deficits reported post intubation include lingual motor weakness associated with </w:t>
      </w:r>
      <w:proofErr w:type="spellStart"/>
      <w:r w:rsidRPr="0020208F">
        <w:rPr>
          <w:sz w:val="20"/>
          <w:szCs w:val="20"/>
        </w:rPr>
        <w:t>sarcopenia</w:t>
      </w:r>
      <w:proofErr w:type="spellEnd"/>
      <w:r w:rsidRPr="0020208F">
        <w:rPr>
          <w:sz w:val="20"/>
          <w:szCs w:val="20"/>
        </w:rPr>
        <w:t xml:space="preserve"> and compromised lingual somatosensory function </w:t>
      </w:r>
      <w:r>
        <w:rPr>
          <w:color w:val="FF0000"/>
          <w:sz w:val="20"/>
          <w:szCs w:val="20"/>
        </w:rPr>
        <w:t>[8]</w:t>
      </w:r>
      <w:r w:rsidRPr="0020208F">
        <w:rPr>
          <w:sz w:val="20"/>
          <w:szCs w:val="20"/>
        </w:rPr>
        <w:t xml:space="preserve">; reduced lingual muscle mass and lingual strength. </w:t>
      </w:r>
      <w:r w:rsidRPr="00400FA2">
        <w:rPr>
          <w:sz w:val="20"/>
          <w:szCs w:val="20"/>
        </w:rPr>
        <w:t xml:space="preserve">Su and colleagues </w:t>
      </w:r>
      <w:r>
        <w:rPr>
          <w:color w:val="FF0000"/>
          <w:sz w:val="20"/>
          <w:szCs w:val="20"/>
        </w:rPr>
        <w:t>[9]</w:t>
      </w:r>
      <w:r w:rsidRPr="0020208F">
        <w:rPr>
          <w:sz w:val="20"/>
          <w:szCs w:val="20"/>
        </w:rPr>
        <w:t xml:space="preserve"> reported reduced lingual strength and impairment of sensory function that was independent of age, gender, and comorbidities. These authors also found that lingual weakness persisted past a 14-day period, </w:t>
      </w:r>
      <w:proofErr w:type="spellStart"/>
      <w:r w:rsidRPr="0020208F">
        <w:rPr>
          <w:sz w:val="20"/>
          <w:szCs w:val="20"/>
        </w:rPr>
        <w:t>where as</w:t>
      </w:r>
      <w:proofErr w:type="spellEnd"/>
      <w:r w:rsidRPr="0020208F">
        <w:rPr>
          <w:sz w:val="20"/>
          <w:szCs w:val="20"/>
        </w:rPr>
        <w:t xml:space="preserve"> sensory disturbance was noted to clear within 14 days. A contributing factor to reduced lingual sensorimotor function is the immobility and reduced range of motion that is a consequence of prolonged intubation.</w:t>
      </w:r>
      <w:r>
        <w:rPr>
          <w:sz w:val="20"/>
          <w:szCs w:val="20"/>
        </w:rPr>
        <w:t xml:space="preserve"> </w:t>
      </w:r>
    </w:p>
    <w:p w14:paraId="2548CA05" w14:textId="77777777" w:rsidR="00ED4C45" w:rsidRPr="0020208F" w:rsidRDefault="00ED4C45" w:rsidP="00ED4C45">
      <w:pPr>
        <w:contextualSpacing/>
        <w:mirrorIndents/>
        <w:jc w:val="both"/>
        <w:rPr>
          <w:sz w:val="20"/>
          <w:szCs w:val="20"/>
        </w:rPr>
      </w:pPr>
    </w:p>
    <w:p w14:paraId="747AE879" w14:textId="77777777" w:rsidR="00ED4C45" w:rsidRPr="0020208F" w:rsidRDefault="00ED4C45" w:rsidP="00ED4C45">
      <w:pPr>
        <w:contextualSpacing/>
        <w:mirrorIndents/>
        <w:jc w:val="both"/>
        <w:rPr>
          <w:sz w:val="20"/>
          <w:szCs w:val="20"/>
        </w:rPr>
      </w:pPr>
      <w:r w:rsidRPr="0020208F">
        <w:rPr>
          <w:sz w:val="20"/>
          <w:szCs w:val="20"/>
        </w:rPr>
        <w:t xml:space="preserve">Studies have also found compromised labial function as a result of intubation. For example, reduced labial compression strength was found post </w:t>
      </w:r>
      <w:proofErr w:type="spellStart"/>
      <w:r w:rsidRPr="0020208F">
        <w:rPr>
          <w:sz w:val="20"/>
          <w:szCs w:val="20"/>
        </w:rPr>
        <w:t>extubation</w:t>
      </w:r>
      <w:proofErr w:type="spellEnd"/>
      <w:r w:rsidRPr="0020208F">
        <w:rPr>
          <w:sz w:val="20"/>
          <w:szCs w:val="20"/>
        </w:rPr>
        <w:t xml:space="preserve"> </w:t>
      </w:r>
      <w:r>
        <w:rPr>
          <w:color w:val="FF0000"/>
          <w:sz w:val="20"/>
          <w:szCs w:val="20"/>
        </w:rPr>
        <w:t>[8]</w:t>
      </w:r>
      <w:r w:rsidRPr="0020208F">
        <w:rPr>
          <w:sz w:val="20"/>
          <w:szCs w:val="20"/>
        </w:rPr>
        <w:t xml:space="preserve">. Endotracheal intubation has also resulted in reduce oral aperture due to masticatory muscle weakness for jaw movement </w:t>
      </w:r>
      <w:r>
        <w:rPr>
          <w:color w:val="FF0000"/>
          <w:sz w:val="20"/>
          <w:szCs w:val="20"/>
        </w:rPr>
        <w:t>[10]</w:t>
      </w:r>
      <w:r w:rsidRPr="0020208F">
        <w:rPr>
          <w:sz w:val="20"/>
          <w:szCs w:val="20"/>
        </w:rPr>
        <w:t>. Adequate mouth opening is imperative for the collection of the bolus and adequate mechanical breakdown of the bolus for tolerance of a regular consistency diet.</w:t>
      </w:r>
      <w:r>
        <w:rPr>
          <w:sz w:val="20"/>
          <w:szCs w:val="20"/>
        </w:rPr>
        <w:t xml:space="preserve"> </w:t>
      </w:r>
      <w:r w:rsidRPr="0020208F">
        <w:rPr>
          <w:sz w:val="20"/>
          <w:szCs w:val="20"/>
        </w:rPr>
        <w:t xml:space="preserve">In addition to sensorimotor etiologies of oral dysphagia, reduced salivary flow is also implicated. In a study by </w:t>
      </w:r>
      <w:r w:rsidRPr="00EC080C">
        <w:rPr>
          <w:sz w:val="20"/>
          <w:szCs w:val="20"/>
        </w:rPr>
        <w:t xml:space="preserve">Wu and colleagues </w:t>
      </w:r>
      <w:r>
        <w:rPr>
          <w:color w:val="FF0000"/>
          <w:sz w:val="20"/>
          <w:szCs w:val="20"/>
        </w:rPr>
        <w:t>[11]</w:t>
      </w:r>
      <w:r w:rsidRPr="0020208F">
        <w:rPr>
          <w:sz w:val="20"/>
          <w:szCs w:val="20"/>
        </w:rPr>
        <w:t xml:space="preserve">, over 37% of participants presented with </w:t>
      </w:r>
      <w:proofErr w:type="spellStart"/>
      <w:r w:rsidRPr="0020208F">
        <w:rPr>
          <w:sz w:val="20"/>
          <w:szCs w:val="20"/>
        </w:rPr>
        <w:t>hyposalivation</w:t>
      </w:r>
      <w:proofErr w:type="spellEnd"/>
      <w:r w:rsidRPr="0020208F">
        <w:rPr>
          <w:sz w:val="20"/>
          <w:szCs w:val="20"/>
        </w:rPr>
        <w:t xml:space="preserve"> 2 days post </w:t>
      </w:r>
      <w:proofErr w:type="spellStart"/>
      <w:r w:rsidRPr="0020208F">
        <w:rPr>
          <w:sz w:val="20"/>
          <w:szCs w:val="20"/>
        </w:rPr>
        <w:t>extubation</w:t>
      </w:r>
      <w:proofErr w:type="spellEnd"/>
      <w:r w:rsidRPr="0020208F">
        <w:rPr>
          <w:sz w:val="20"/>
          <w:szCs w:val="20"/>
        </w:rPr>
        <w:t>. Reduced labial and lingual sensorimotor skills, compromised oral aperture, and reduced salivary flow are all side effects of endotracheal intubation that result in an oral dysphagia that in turn may place the patient at risk for aspiration and require the patient to be placed on a modified diet.</w:t>
      </w:r>
      <w:r>
        <w:rPr>
          <w:sz w:val="20"/>
          <w:szCs w:val="20"/>
        </w:rPr>
        <w:t xml:space="preserve"> </w:t>
      </w:r>
    </w:p>
    <w:p w14:paraId="2A354ED0" w14:textId="77777777" w:rsidR="00ED4C45" w:rsidRPr="0020208F" w:rsidRDefault="00ED4C45" w:rsidP="00ED4C45">
      <w:pPr>
        <w:contextualSpacing/>
        <w:mirrorIndents/>
        <w:jc w:val="both"/>
        <w:rPr>
          <w:sz w:val="20"/>
          <w:szCs w:val="20"/>
        </w:rPr>
      </w:pPr>
    </w:p>
    <w:p w14:paraId="5A1D47EB" w14:textId="77777777" w:rsidR="00ED4C45" w:rsidRPr="0020208F" w:rsidRDefault="00ED4C45" w:rsidP="00ED4C45">
      <w:pPr>
        <w:contextualSpacing/>
        <w:mirrorIndents/>
        <w:jc w:val="both"/>
        <w:rPr>
          <w:sz w:val="20"/>
          <w:szCs w:val="20"/>
        </w:rPr>
      </w:pPr>
      <w:r w:rsidRPr="0020208F">
        <w:rPr>
          <w:sz w:val="20"/>
          <w:szCs w:val="20"/>
        </w:rPr>
        <w:t>Further, there is a positive correlation between duration of intubation and severity of the dysphagia</w:t>
      </w:r>
      <w:r w:rsidRPr="00827FEC">
        <w:rPr>
          <w:color w:val="FF0000"/>
          <w:sz w:val="20"/>
          <w:szCs w:val="20"/>
        </w:rPr>
        <w:t xml:space="preserve"> </w:t>
      </w:r>
      <w:r>
        <w:rPr>
          <w:color w:val="FF0000"/>
          <w:sz w:val="20"/>
          <w:szCs w:val="20"/>
        </w:rPr>
        <w:t>[4</w:t>
      </w:r>
      <w:proofErr w:type="gramStart"/>
      <w:r>
        <w:rPr>
          <w:color w:val="FF0000"/>
          <w:sz w:val="20"/>
          <w:szCs w:val="20"/>
        </w:rPr>
        <w:t>,8,12,13</w:t>
      </w:r>
      <w:proofErr w:type="gramEnd"/>
      <w:r>
        <w:rPr>
          <w:color w:val="FF0000"/>
          <w:sz w:val="20"/>
          <w:szCs w:val="20"/>
        </w:rPr>
        <w:t>]</w:t>
      </w:r>
      <w:r w:rsidRPr="0020208F">
        <w:rPr>
          <w:sz w:val="20"/>
          <w:szCs w:val="20"/>
        </w:rPr>
        <w:t xml:space="preserve">, which in turn may result in a greater risk for aspiration pneumonia </w:t>
      </w:r>
      <w:r>
        <w:rPr>
          <w:color w:val="FF0000"/>
          <w:sz w:val="20"/>
          <w:szCs w:val="20"/>
        </w:rPr>
        <w:t>[6]</w:t>
      </w:r>
      <w:r w:rsidRPr="0020208F">
        <w:rPr>
          <w:sz w:val="20"/>
          <w:szCs w:val="20"/>
        </w:rPr>
        <w:t xml:space="preserve">. Prolonged intubation places patients at risk for oropharyngeal dysphagia with noted penetration and/or aspiration </w:t>
      </w:r>
      <w:r>
        <w:rPr>
          <w:color w:val="FF0000"/>
          <w:sz w:val="20"/>
          <w:szCs w:val="20"/>
        </w:rPr>
        <w:t>[14]</w:t>
      </w:r>
      <w:r w:rsidRPr="008F5D58">
        <w:rPr>
          <w:sz w:val="20"/>
          <w:szCs w:val="20"/>
        </w:rPr>
        <w:t>.</w:t>
      </w:r>
      <w:r w:rsidRPr="0020208F">
        <w:rPr>
          <w:color w:val="C0504D" w:themeColor="accent2"/>
          <w:sz w:val="20"/>
          <w:szCs w:val="20"/>
        </w:rPr>
        <w:t xml:space="preserve"> </w:t>
      </w:r>
      <w:proofErr w:type="spellStart"/>
      <w:r w:rsidRPr="005C45B5">
        <w:rPr>
          <w:sz w:val="20"/>
          <w:szCs w:val="20"/>
        </w:rPr>
        <w:t>Skoretz</w:t>
      </w:r>
      <w:proofErr w:type="spellEnd"/>
      <w:r w:rsidRPr="005C45B5">
        <w:rPr>
          <w:sz w:val="20"/>
          <w:szCs w:val="20"/>
        </w:rPr>
        <w:t xml:space="preserve"> and colleagues </w:t>
      </w:r>
      <w:r>
        <w:rPr>
          <w:color w:val="FF0000"/>
          <w:sz w:val="20"/>
          <w:szCs w:val="20"/>
        </w:rPr>
        <w:t>[5]</w:t>
      </w:r>
      <w:r w:rsidRPr="0020208F">
        <w:rPr>
          <w:sz w:val="20"/>
          <w:szCs w:val="20"/>
        </w:rPr>
        <w:t xml:space="preserve"> reported that studies that identified the higher rates of occurrence of dysphagia following </w:t>
      </w:r>
      <w:proofErr w:type="spellStart"/>
      <w:r w:rsidRPr="0020208F">
        <w:rPr>
          <w:sz w:val="20"/>
          <w:szCs w:val="20"/>
        </w:rPr>
        <w:t>extubation</w:t>
      </w:r>
      <w:proofErr w:type="spellEnd"/>
      <w:r w:rsidRPr="0020208F">
        <w:rPr>
          <w:sz w:val="20"/>
          <w:szCs w:val="20"/>
        </w:rPr>
        <w:t xml:space="preserve"> (62%, 56%, and 51%) were positively associated with prolonged periods of intubation. Critical patients who present with a moderate to severe dysphagia are more likely to have had prolonged intubation as compared to those patients who present with a mild or no dysphagia </w:t>
      </w:r>
      <w:r>
        <w:rPr>
          <w:color w:val="FF0000"/>
          <w:sz w:val="20"/>
          <w:szCs w:val="20"/>
        </w:rPr>
        <w:t>[15]</w:t>
      </w:r>
      <w:r w:rsidRPr="0020208F">
        <w:rPr>
          <w:sz w:val="20"/>
          <w:szCs w:val="20"/>
        </w:rPr>
        <w:t>. Risk for post-</w:t>
      </w:r>
      <w:proofErr w:type="spellStart"/>
      <w:r w:rsidRPr="0020208F">
        <w:rPr>
          <w:sz w:val="20"/>
          <w:szCs w:val="20"/>
        </w:rPr>
        <w:t>extubation</w:t>
      </w:r>
      <w:proofErr w:type="spellEnd"/>
      <w:r w:rsidRPr="0020208F">
        <w:rPr>
          <w:sz w:val="20"/>
          <w:szCs w:val="20"/>
        </w:rPr>
        <w:t xml:space="preserve"> aspiration has been found to be 1.82 times greater following 7 days of intubation; the risk continues to increase with increased days of intubation </w:t>
      </w:r>
      <w:r>
        <w:rPr>
          <w:color w:val="FF0000"/>
          <w:sz w:val="20"/>
          <w:szCs w:val="20"/>
        </w:rPr>
        <w:t>[6]</w:t>
      </w:r>
      <w:r w:rsidRPr="0020208F">
        <w:rPr>
          <w:sz w:val="20"/>
          <w:szCs w:val="20"/>
        </w:rPr>
        <w:t>. However, research on the correlation is conflicting.</w:t>
      </w:r>
      <w:r>
        <w:rPr>
          <w:sz w:val="20"/>
          <w:szCs w:val="20"/>
        </w:rPr>
        <w:t xml:space="preserve"> </w:t>
      </w:r>
      <w:r w:rsidRPr="0020208F">
        <w:rPr>
          <w:sz w:val="20"/>
          <w:szCs w:val="20"/>
        </w:rPr>
        <w:t xml:space="preserve">Several studies have found no relationship between duration and dysphagia </w:t>
      </w:r>
      <w:r>
        <w:rPr>
          <w:color w:val="FF0000"/>
          <w:sz w:val="20"/>
          <w:szCs w:val="20"/>
        </w:rPr>
        <w:t>[16-18]</w:t>
      </w:r>
      <w:r w:rsidRPr="0020208F">
        <w:rPr>
          <w:sz w:val="20"/>
          <w:szCs w:val="20"/>
        </w:rPr>
        <w:t xml:space="preserve">. </w:t>
      </w:r>
      <w:r w:rsidRPr="00064ED5">
        <w:rPr>
          <w:sz w:val="20"/>
          <w:szCs w:val="20"/>
        </w:rPr>
        <w:t xml:space="preserve">Park and colleagues </w:t>
      </w:r>
      <w:r>
        <w:rPr>
          <w:color w:val="FF0000"/>
          <w:sz w:val="20"/>
          <w:szCs w:val="20"/>
        </w:rPr>
        <w:t>[8]</w:t>
      </w:r>
      <w:r w:rsidRPr="0020208F">
        <w:rPr>
          <w:sz w:val="20"/>
          <w:szCs w:val="20"/>
        </w:rPr>
        <w:t xml:space="preserve"> found that the number of days intubated had no </w:t>
      </w:r>
      <w:proofErr w:type="spellStart"/>
      <w:r w:rsidRPr="0020208F">
        <w:rPr>
          <w:sz w:val="20"/>
          <w:szCs w:val="20"/>
        </w:rPr>
        <w:t>affect</w:t>
      </w:r>
      <w:proofErr w:type="spellEnd"/>
      <w:r w:rsidRPr="0020208F">
        <w:rPr>
          <w:sz w:val="20"/>
          <w:szCs w:val="20"/>
        </w:rPr>
        <w:t xml:space="preserve"> on lingual function, in particular for lingual endurance.</w:t>
      </w:r>
    </w:p>
    <w:p w14:paraId="305CF1B7" w14:textId="77777777" w:rsidR="00ED4C45" w:rsidRPr="0020208F" w:rsidRDefault="00ED4C45" w:rsidP="00ED4C45">
      <w:pPr>
        <w:contextualSpacing/>
        <w:mirrorIndents/>
        <w:jc w:val="both"/>
        <w:rPr>
          <w:sz w:val="20"/>
          <w:szCs w:val="20"/>
        </w:rPr>
      </w:pPr>
    </w:p>
    <w:p w14:paraId="78B1D02B" w14:textId="77777777" w:rsidR="00ED4C45" w:rsidRPr="0020208F" w:rsidRDefault="00ED4C45" w:rsidP="00ED4C45">
      <w:pPr>
        <w:contextualSpacing/>
        <w:mirrorIndents/>
        <w:jc w:val="both"/>
        <w:rPr>
          <w:color w:val="C0504D" w:themeColor="accent2"/>
          <w:sz w:val="20"/>
          <w:szCs w:val="20"/>
        </w:rPr>
      </w:pPr>
      <w:r w:rsidRPr="0020208F">
        <w:rPr>
          <w:sz w:val="20"/>
          <w:szCs w:val="20"/>
        </w:rPr>
        <w:lastRenderedPageBreak/>
        <w:t>Another risk factor to be considered for oropharyngeal dysphagia in the setting of COVID is aging. Age has been found to be a factor for aspiration and silent aspiration in those patients post-</w:t>
      </w:r>
      <w:proofErr w:type="spellStart"/>
      <w:r w:rsidRPr="0020208F">
        <w:rPr>
          <w:sz w:val="20"/>
          <w:szCs w:val="20"/>
        </w:rPr>
        <w:t>extubation</w:t>
      </w:r>
      <w:proofErr w:type="spellEnd"/>
      <w:r w:rsidRPr="0020208F">
        <w:rPr>
          <w:sz w:val="20"/>
          <w:szCs w:val="20"/>
        </w:rPr>
        <w:t xml:space="preserve">, secondary to the impact of the primary critical illness or the effects of the endotracheal tube on the pharynx and/or larynx </w:t>
      </w:r>
      <w:r>
        <w:rPr>
          <w:color w:val="FF0000"/>
          <w:sz w:val="20"/>
          <w:szCs w:val="20"/>
        </w:rPr>
        <w:t>[16]</w:t>
      </w:r>
      <w:r w:rsidRPr="00B428A1">
        <w:rPr>
          <w:sz w:val="20"/>
          <w:szCs w:val="20"/>
        </w:rPr>
        <w:t xml:space="preserve">. </w:t>
      </w:r>
      <w:r w:rsidRPr="0020208F">
        <w:rPr>
          <w:sz w:val="20"/>
          <w:szCs w:val="20"/>
        </w:rPr>
        <w:t xml:space="preserve">Studies have shown that elderly patients in the absence of illness demonstrate changes to the swallowing mechanism. </w:t>
      </w:r>
      <w:proofErr w:type="spellStart"/>
      <w:r w:rsidRPr="0020208F">
        <w:rPr>
          <w:sz w:val="20"/>
          <w:szCs w:val="20"/>
        </w:rPr>
        <w:t>Pharyngoglottic</w:t>
      </w:r>
      <w:proofErr w:type="spellEnd"/>
      <w:r w:rsidRPr="0020208F">
        <w:rPr>
          <w:sz w:val="20"/>
          <w:szCs w:val="20"/>
        </w:rPr>
        <w:t xml:space="preserve"> closure for airway protection is present however compromised in healthy elderly individuals </w:t>
      </w:r>
      <w:r>
        <w:rPr>
          <w:color w:val="FF0000"/>
          <w:sz w:val="20"/>
          <w:szCs w:val="20"/>
        </w:rPr>
        <w:t>[19]</w:t>
      </w:r>
      <w:r w:rsidRPr="0020208F">
        <w:rPr>
          <w:sz w:val="20"/>
          <w:szCs w:val="20"/>
        </w:rPr>
        <w:t>.</w:t>
      </w:r>
      <w:r w:rsidRPr="0020208F">
        <w:rPr>
          <w:color w:val="C0504D" w:themeColor="accent2"/>
          <w:sz w:val="20"/>
          <w:szCs w:val="20"/>
        </w:rPr>
        <w:t xml:space="preserve"> </w:t>
      </w:r>
      <w:r w:rsidRPr="0020208F">
        <w:rPr>
          <w:sz w:val="20"/>
          <w:szCs w:val="20"/>
        </w:rPr>
        <w:t xml:space="preserve">Atrophy of the intrinsic laryngeal muscles, dehydration of the laryngeal mucosa, reduced laryngeal excursion, and bowing of the vocal folds have been associated with the aging process </w:t>
      </w:r>
      <w:r>
        <w:rPr>
          <w:color w:val="FF0000"/>
          <w:sz w:val="20"/>
          <w:szCs w:val="20"/>
        </w:rPr>
        <w:t>[20]</w:t>
      </w:r>
      <w:r w:rsidRPr="0020208F">
        <w:rPr>
          <w:sz w:val="20"/>
          <w:szCs w:val="20"/>
        </w:rPr>
        <w:t xml:space="preserve">. Additionally, the older population has been found to have atrophy of the tongue and </w:t>
      </w:r>
      <w:proofErr w:type="spellStart"/>
      <w:r w:rsidRPr="0020208F">
        <w:rPr>
          <w:sz w:val="20"/>
          <w:szCs w:val="20"/>
        </w:rPr>
        <w:t>geniohyoid</w:t>
      </w:r>
      <w:proofErr w:type="spellEnd"/>
      <w:r w:rsidRPr="0020208F">
        <w:rPr>
          <w:sz w:val="20"/>
          <w:szCs w:val="20"/>
        </w:rPr>
        <w:t xml:space="preserve"> muscles and thinning of the pharyngeal wall </w:t>
      </w:r>
      <w:r>
        <w:rPr>
          <w:color w:val="FF0000"/>
          <w:sz w:val="20"/>
          <w:szCs w:val="20"/>
        </w:rPr>
        <w:t>[21]</w:t>
      </w:r>
      <w:r w:rsidRPr="0020208F">
        <w:rPr>
          <w:sz w:val="20"/>
          <w:szCs w:val="20"/>
        </w:rPr>
        <w:t xml:space="preserve"> and reduced tongue pressure and mastication </w:t>
      </w:r>
      <w:r>
        <w:rPr>
          <w:color w:val="FF0000"/>
          <w:sz w:val="20"/>
          <w:szCs w:val="20"/>
        </w:rPr>
        <w:t>[22]</w:t>
      </w:r>
      <w:r w:rsidRPr="0020208F">
        <w:rPr>
          <w:sz w:val="20"/>
          <w:szCs w:val="20"/>
        </w:rPr>
        <w:t xml:space="preserve">. In contrast, </w:t>
      </w:r>
      <w:proofErr w:type="spellStart"/>
      <w:r w:rsidRPr="000E5154">
        <w:rPr>
          <w:sz w:val="20"/>
          <w:szCs w:val="20"/>
        </w:rPr>
        <w:t>Solh</w:t>
      </w:r>
      <w:proofErr w:type="spellEnd"/>
      <w:r w:rsidRPr="000E5154">
        <w:rPr>
          <w:sz w:val="20"/>
          <w:szCs w:val="20"/>
        </w:rPr>
        <w:t xml:space="preserve"> and colleagues </w:t>
      </w:r>
      <w:r>
        <w:rPr>
          <w:color w:val="FF0000"/>
          <w:sz w:val="20"/>
          <w:szCs w:val="20"/>
        </w:rPr>
        <w:t>[18]</w:t>
      </w:r>
      <w:r w:rsidRPr="0020208F">
        <w:rPr>
          <w:sz w:val="20"/>
          <w:szCs w:val="20"/>
        </w:rPr>
        <w:t xml:space="preserve"> found that elderly patients do not have a greater risk for dysphagia post-</w:t>
      </w:r>
      <w:proofErr w:type="spellStart"/>
      <w:r w:rsidRPr="0020208F">
        <w:rPr>
          <w:sz w:val="20"/>
          <w:szCs w:val="20"/>
        </w:rPr>
        <w:t>extubation</w:t>
      </w:r>
      <w:proofErr w:type="spellEnd"/>
      <w:r w:rsidRPr="0020208F">
        <w:rPr>
          <w:sz w:val="20"/>
          <w:szCs w:val="20"/>
        </w:rPr>
        <w:t xml:space="preserve"> than younger individuals.</w:t>
      </w:r>
    </w:p>
    <w:p w14:paraId="588C07E4" w14:textId="77777777" w:rsidR="00ED4C45" w:rsidRPr="0020208F" w:rsidRDefault="00ED4C45" w:rsidP="00ED4C45">
      <w:pPr>
        <w:contextualSpacing/>
        <w:mirrorIndents/>
        <w:jc w:val="both"/>
        <w:rPr>
          <w:color w:val="C0504D" w:themeColor="accent2"/>
          <w:sz w:val="20"/>
          <w:szCs w:val="20"/>
        </w:rPr>
      </w:pPr>
    </w:p>
    <w:p w14:paraId="0F17A2DA" w14:textId="77777777" w:rsidR="00ED4C45" w:rsidRPr="0020208F" w:rsidRDefault="00ED4C45" w:rsidP="00ED4C45">
      <w:pPr>
        <w:contextualSpacing/>
        <w:mirrorIndents/>
        <w:jc w:val="both"/>
        <w:rPr>
          <w:sz w:val="20"/>
          <w:szCs w:val="20"/>
        </w:rPr>
      </w:pPr>
      <w:r w:rsidRPr="0020208F">
        <w:rPr>
          <w:sz w:val="20"/>
          <w:szCs w:val="20"/>
        </w:rPr>
        <w:t>In an effort to ward off the consequences of dysphagia, including aspiration pneumonia, a modified diet may be recommended.</w:t>
      </w:r>
      <w:r>
        <w:rPr>
          <w:sz w:val="20"/>
          <w:szCs w:val="20"/>
        </w:rPr>
        <w:t xml:space="preserve"> </w:t>
      </w:r>
      <w:r w:rsidRPr="0020208F">
        <w:rPr>
          <w:sz w:val="20"/>
          <w:szCs w:val="20"/>
        </w:rPr>
        <w:t xml:space="preserve">Research has found that 30-45% of elderly patients in acute and rehabilitations settings receive a modified diet </w:t>
      </w:r>
      <w:r>
        <w:rPr>
          <w:color w:val="FF0000"/>
          <w:sz w:val="20"/>
          <w:szCs w:val="20"/>
        </w:rPr>
        <w:t>[13]</w:t>
      </w:r>
      <w:r w:rsidRPr="0020208F">
        <w:rPr>
          <w:sz w:val="20"/>
          <w:szCs w:val="20"/>
        </w:rPr>
        <w:t>. There is a paucity of research related to the epidemiology of modified diet recommendations in those individuals post-</w:t>
      </w:r>
      <w:proofErr w:type="spellStart"/>
      <w:r w:rsidRPr="0020208F">
        <w:rPr>
          <w:sz w:val="20"/>
          <w:szCs w:val="20"/>
        </w:rPr>
        <w:t>extubation</w:t>
      </w:r>
      <w:proofErr w:type="spellEnd"/>
      <w:r w:rsidRPr="0020208F">
        <w:rPr>
          <w:sz w:val="20"/>
          <w:szCs w:val="20"/>
        </w:rPr>
        <w:t xml:space="preserve">. </w:t>
      </w:r>
    </w:p>
    <w:p w14:paraId="18CF43B0" w14:textId="77777777" w:rsidR="00ED4C45" w:rsidRPr="0020208F" w:rsidRDefault="00ED4C45" w:rsidP="00ED4C45">
      <w:pPr>
        <w:contextualSpacing/>
        <w:mirrorIndents/>
        <w:jc w:val="both"/>
        <w:rPr>
          <w:sz w:val="20"/>
          <w:szCs w:val="20"/>
        </w:rPr>
      </w:pPr>
    </w:p>
    <w:p w14:paraId="62647D25" w14:textId="77777777" w:rsidR="00ED4C45" w:rsidRPr="0020208F" w:rsidRDefault="00ED4C45" w:rsidP="00ED4C45">
      <w:pPr>
        <w:contextualSpacing/>
        <w:mirrorIndents/>
        <w:jc w:val="both"/>
        <w:rPr>
          <w:sz w:val="20"/>
          <w:szCs w:val="20"/>
        </w:rPr>
      </w:pPr>
      <w:r w:rsidRPr="0020208F">
        <w:rPr>
          <w:sz w:val="20"/>
          <w:szCs w:val="20"/>
        </w:rPr>
        <w:t>It is imperative for the development of protocol for both intervention and treatment of those recovering from the COVID-19 that we have a comprehensive understanding of the characteristics of the presenting oropharyngeal dysphagia. At this time, little is known of the sequelae of this novel virus.</w:t>
      </w:r>
      <w:r>
        <w:rPr>
          <w:sz w:val="20"/>
          <w:szCs w:val="20"/>
        </w:rPr>
        <w:t xml:space="preserve"> </w:t>
      </w:r>
      <w:r w:rsidRPr="0020208F">
        <w:rPr>
          <w:sz w:val="20"/>
          <w:szCs w:val="20"/>
        </w:rPr>
        <w:t>The speech-language pathologist is currently being asked to assess for swallow function with little empirical evidence of the most efficacious approach. Although much is known about dysphagia, it is unknown if this knowledge is applicable to patients recovering from the COVID-19 virus. Findings from this study may aid in the development of standard of care for these individuals that are suffering from the side effects of this virus.</w:t>
      </w:r>
      <w:r>
        <w:rPr>
          <w:sz w:val="20"/>
          <w:szCs w:val="20"/>
        </w:rPr>
        <w:t xml:space="preserve"> </w:t>
      </w:r>
    </w:p>
    <w:p w14:paraId="4421D5D9" w14:textId="77777777" w:rsidR="00ED4C45" w:rsidRPr="0020208F" w:rsidRDefault="00ED4C45" w:rsidP="00ED4C45">
      <w:pPr>
        <w:contextualSpacing/>
        <w:mirrorIndents/>
        <w:jc w:val="both"/>
        <w:rPr>
          <w:sz w:val="20"/>
          <w:szCs w:val="20"/>
        </w:rPr>
      </w:pPr>
    </w:p>
    <w:p w14:paraId="6115C4C4" w14:textId="77777777" w:rsidR="00ED4C45" w:rsidRPr="007E3AF9" w:rsidRDefault="00ED4C45" w:rsidP="00ED4C45">
      <w:pPr>
        <w:contextualSpacing/>
        <w:mirrorIndents/>
        <w:jc w:val="both"/>
        <w:rPr>
          <w:b/>
          <w:sz w:val="22"/>
          <w:szCs w:val="22"/>
        </w:rPr>
      </w:pPr>
      <w:r w:rsidRPr="007E3AF9">
        <w:rPr>
          <w:b/>
          <w:sz w:val="22"/>
          <w:szCs w:val="22"/>
        </w:rPr>
        <w:t>Objective</w:t>
      </w:r>
    </w:p>
    <w:p w14:paraId="1B2A725D" w14:textId="77777777" w:rsidR="00ED4C45" w:rsidRPr="0020208F" w:rsidRDefault="00ED4C45" w:rsidP="00ED4C45">
      <w:pPr>
        <w:contextualSpacing/>
        <w:mirrorIndents/>
        <w:jc w:val="both"/>
        <w:rPr>
          <w:sz w:val="20"/>
          <w:szCs w:val="20"/>
        </w:rPr>
      </w:pPr>
    </w:p>
    <w:p w14:paraId="4672277C" w14:textId="77777777" w:rsidR="00ED4C45" w:rsidRPr="0020208F" w:rsidRDefault="00ED4C45" w:rsidP="00ED4C45">
      <w:pPr>
        <w:contextualSpacing/>
        <w:mirrorIndents/>
        <w:jc w:val="both"/>
        <w:rPr>
          <w:sz w:val="20"/>
          <w:szCs w:val="20"/>
        </w:rPr>
      </w:pPr>
      <w:r w:rsidRPr="0020208F">
        <w:rPr>
          <w:sz w:val="20"/>
          <w:szCs w:val="20"/>
        </w:rPr>
        <w:t>This is a retrospective study whose objective is to investigate the underlying characteristics of the presenting oropharyngeal dysphagia in patients treated for the COVID-19 virus. This study will consider the effects of endotracheal intervention and aging in both oral and pharyngeal dysphagia. The ultimate goal is to determine if a dysphagia assessment should be standard of care for all patients in the setting of COVID-19, regardless of history of intubation.</w:t>
      </w:r>
    </w:p>
    <w:p w14:paraId="2461A7C0" w14:textId="77777777" w:rsidR="00ED4C45" w:rsidRPr="0020208F" w:rsidRDefault="00ED4C45" w:rsidP="00ED4C45">
      <w:pPr>
        <w:contextualSpacing/>
        <w:mirrorIndents/>
        <w:jc w:val="both"/>
        <w:rPr>
          <w:sz w:val="20"/>
          <w:szCs w:val="20"/>
        </w:rPr>
      </w:pPr>
    </w:p>
    <w:p w14:paraId="516D3336" w14:textId="77777777" w:rsidR="00ED4C45" w:rsidRPr="00AF3B90" w:rsidRDefault="00ED4C45" w:rsidP="00ED4C45">
      <w:pPr>
        <w:contextualSpacing/>
        <w:mirrorIndents/>
        <w:jc w:val="both"/>
        <w:rPr>
          <w:b/>
          <w:sz w:val="22"/>
          <w:szCs w:val="22"/>
        </w:rPr>
      </w:pPr>
      <w:r w:rsidRPr="00AF3B90">
        <w:rPr>
          <w:b/>
          <w:sz w:val="22"/>
          <w:szCs w:val="22"/>
        </w:rPr>
        <w:t>Hypothesis</w:t>
      </w:r>
    </w:p>
    <w:p w14:paraId="65527CE0" w14:textId="77777777" w:rsidR="00ED4C45" w:rsidRPr="0020208F" w:rsidRDefault="00ED4C45" w:rsidP="00ED4C45">
      <w:pPr>
        <w:contextualSpacing/>
        <w:mirrorIndents/>
        <w:jc w:val="both"/>
        <w:rPr>
          <w:sz w:val="20"/>
          <w:szCs w:val="20"/>
        </w:rPr>
      </w:pPr>
    </w:p>
    <w:p w14:paraId="288D8A8C" w14:textId="77777777" w:rsidR="00ED4C45" w:rsidRPr="0020208F" w:rsidRDefault="00ED4C45" w:rsidP="00ED4C45">
      <w:pPr>
        <w:contextualSpacing/>
        <w:mirrorIndents/>
        <w:jc w:val="both"/>
        <w:rPr>
          <w:sz w:val="20"/>
          <w:szCs w:val="20"/>
        </w:rPr>
      </w:pPr>
      <w:r w:rsidRPr="0020208F">
        <w:rPr>
          <w:sz w:val="20"/>
          <w:szCs w:val="20"/>
        </w:rPr>
        <w:t>Patients diagnosed with COVID-19 requiring endotracheal intubation will present with a greater occurrence of a dysphagia than those that do not require intubation for the treatment of this virus.</w:t>
      </w:r>
    </w:p>
    <w:p w14:paraId="5908E949" w14:textId="77777777" w:rsidR="00ED4C45" w:rsidRPr="0020208F" w:rsidRDefault="00ED4C45" w:rsidP="00ED4C45">
      <w:pPr>
        <w:contextualSpacing/>
        <w:mirrorIndents/>
        <w:jc w:val="both"/>
        <w:rPr>
          <w:sz w:val="20"/>
          <w:szCs w:val="20"/>
        </w:rPr>
      </w:pPr>
      <w:r w:rsidRPr="0020208F">
        <w:rPr>
          <w:color w:val="000000"/>
          <w:sz w:val="20"/>
          <w:szCs w:val="20"/>
        </w:rPr>
        <w:t xml:space="preserve">Presence of oropharyngeal deficits requiring a modified diet are positively correlated with incidence of endotracheal intubation. </w:t>
      </w:r>
    </w:p>
    <w:p w14:paraId="45EA79D9" w14:textId="77777777" w:rsidR="00ED4C45" w:rsidRPr="0020208F" w:rsidRDefault="00ED4C45" w:rsidP="00ED4C45">
      <w:pPr>
        <w:contextualSpacing/>
        <w:mirrorIndents/>
        <w:jc w:val="both"/>
        <w:rPr>
          <w:sz w:val="20"/>
          <w:szCs w:val="20"/>
        </w:rPr>
      </w:pPr>
      <w:r w:rsidRPr="0020208F">
        <w:rPr>
          <w:color w:val="000000"/>
          <w:sz w:val="20"/>
          <w:szCs w:val="20"/>
        </w:rPr>
        <w:t>Aging is also a characteristic for oropharyngeal dysphagia secondary to COVID-19</w:t>
      </w:r>
    </w:p>
    <w:p w14:paraId="4F515BFD" w14:textId="77777777" w:rsidR="00ED4C45" w:rsidRPr="0020208F" w:rsidRDefault="00ED4C45" w:rsidP="00ED4C45">
      <w:pPr>
        <w:contextualSpacing/>
        <w:mirrorIndents/>
        <w:jc w:val="both"/>
        <w:rPr>
          <w:sz w:val="20"/>
          <w:szCs w:val="20"/>
        </w:rPr>
      </w:pPr>
    </w:p>
    <w:p w14:paraId="7F42D0CC" w14:textId="77777777" w:rsidR="00ED4C45" w:rsidRPr="00DC622C" w:rsidRDefault="00ED4C45" w:rsidP="00ED4C45">
      <w:pPr>
        <w:contextualSpacing/>
        <w:mirrorIndents/>
        <w:jc w:val="both"/>
        <w:rPr>
          <w:b/>
          <w:sz w:val="22"/>
          <w:szCs w:val="22"/>
        </w:rPr>
      </w:pPr>
      <w:r w:rsidRPr="00DC622C">
        <w:rPr>
          <w:b/>
          <w:sz w:val="22"/>
          <w:szCs w:val="22"/>
        </w:rPr>
        <w:t>Methods</w:t>
      </w:r>
    </w:p>
    <w:p w14:paraId="415124C9" w14:textId="77777777" w:rsidR="00ED4C45" w:rsidRPr="0020208F" w:rsidRDefault="00ED4C45" w:rsidP="00ED4C45">
      <w:pPr>
        <w:contextualSpacing/>
        <w:mirrorIndents/>
        <w:jc w:val="both"/>
        <w:rPr>
          <w:sz w:val="20"/>
          <w:szCs w:val="20"/>
        </w:rPr>
      </w:pPr>
    </w:p>
    <w:p w14:paraId="60FD0477" w14:textId="77777777" w:rsidR="00ED4C45" w:rsidRPr="0020208F" w:rsidRDefault="00ED4C45" w:rsidP="00ED4C45">
      <w:pPr>
        <w:contextualSpacing/>
        <w:mirrorIndents/>
        <w:jc w:val="both"/>
        <w:rPr>
          <w:sz w:val="20"/>
          <w:szCs w:val="20"/>
        </w:rPr>
      </w:pPr>
      <w:r w:rsidRPr="0020208F">
        <w:rPr>
          <w:sz w:val="20"/>
          <w:szCs w:val="20"/>
        </w:rPr>
        <w:t xml:space="preserve">This study was reviewed and accepted by the </w:t>
      </w:r>
      <w:proofErr w:type="spellStart"/>
      <w:r w:rsidRPr="0020208F">
        <w:rPr>
          <w:sz w:val="20"/>
          <w:szCs w:val="20"/>
        </w:rPr>
        <w:t>Northwell</w:t>
      </w:r>
      <w:proofErr w:type="spellEnd"/>
      <w:r w:rsidRPr="0020208F">
        <w:rPr>
          <w:sz w:val="20"/>
          <w:szCs w:val="20"/>
        </w:rPr>
        <w:t xml:space="preserve"> Health Feinstein Institute for Medical Research Institutional Review Board (IRB #: 20-0569). </w:t>
      </w:r>
    </w:p>
    <w:p w14:paraId="65A13414" w14:textId="77777777" w:rsidR="00ED4C45" w:rsidRPr="0020208F" w:rsidRDefault="00ED4C45" w:rsidP="00ED4C45">
      <w:pPr>
        <w:contextualSpacing/>
        <w:mirrorIndents/>
        <w:jc w:val="both"/>
        <w:rPr>
          <w:sz w:val="20"/>
          <w:szCs w:val="20"/>
        </w:rPr>
      </w:pPr>
    </w:p>
    <w:p w14:paraId="7457BDDA" w14:textId="77777777" w:rsidR="00ED4C45" w:rsidRPr="00C864A7" w:rsidRDefault="00ED4C45" w:rsidP="00ED4C45">
      <w:pPr>
        <w:contextualSpacing/>
        <w:mirrorIndents/>
        <w:jc w:val="both"/>
        <w:rPr>
          <w:b/>
          <w:sz w:val="22"/>
          <w:szCs w:val="22"/>
        </w:rPr>
      </w:pPr>
      <w:r w:rsidRPr="00C864A7">
        <w:rPr>
          <w:b/>
          <w:sz w:val="22"/>
          <w:szCs w:val="22"/>
        </w:rPr>
        <w:t>Participants</w:t>
      </w:r>
    </w:p>
    <w:p w14:paraId="651B452F" w14:textId="77777777" w:rsidR="00ED4C45" w:rsidRPr="0020208F" w:rsidRDefault="00ED4C45" w:rsidP="00ED4C45">
      <w:pPr>
        <w:contextualSpacing/>
        <w:mirrorIndents/>
        <w:jc w:val="both"/>
        <w:rPr>
          <w:sz w:val="20"/>
          <w:szCs w:val="20"/>
        </w:rPr>
      </w:pPr>
    </w:p>
    <w:p w14:paraId="623A18FA" w14:textId="77777777" w:rsidR="00ED4C45" w:rsidRPr="0020208F" w:rsidRDefault="00ED4C45" w:rsidP="00ED4C45">
      <w:pPr>
        <w:contextualSpacing/>
        <w:mirrorIndents/>
        <w:jc w:val="both"/>
        <w:rPr>
          <w:color w:val="000000"/>
          <w:sz w:val="20"/>
          <w:szCs w:val="20"/>
        </w:rPr>
      </w:pPr>
      <w:r w:rsidRPr="0020208F">
        <w:rPr>
          <w:sz w:val="20"/>
          <w:szCs w:val="20"/>
        </w:rPr>
        <w:t xml:space="preserve">A chart review of 39 patients referred to the Long Island Jewish Medical Center’s Speech-Language Pathology department was conducted. All patients had been admitted for the treatment of complications related to the COVID-19 virus. Charts were reviewed from all adult units within the hospital with no exclusion of any particular unit. All patients had been referred for a dysphagia clinical evaluation. For those patient that were intubated and later </w:t>
      </w:r>
      <w:proofErr w:type="spellStart"/>
      <w:r w:rsidRPr="0020208F">
        <w:rPr>
          <w:sz w:val="20"/>
          <w:szCs w:val="20"/>
        </w:rPr>
        <w:t>extubated</w:t>
      </w:r>
      <w:proofErr w:type="spellEnd"/>
      <w:r w:rsidRPr="0020208F">
        <w:rPr>
          <w:sz w:val="20"/>
          <w:szCs w:val="20"/>
        </w:rPr>
        <w:t xml:space="preserve">, the lapse of time between </w:t>
      </w:r>
      <w:proofErr w:type="spellStart"/>
      <w:r w:rsidRPr="0020208F">
        <w:rPr>
          <w:sz w:val="20"/>
          <w:szCs w:val="20"/>
        </w:rPr>
        <w:t>extubation</w:t>
      </w:r>
      <w:proofErr w:type="spellEnd"/>
      <w:r w:rsidRPr="0020208F">
        <w:rPr>
          <w:sz w:val="20"/>
          <w:szCs w:val="20"/>
        </w:rPr>
        <w:t xml:space="preserve"> and the clinical swallowing evaluation averaged 2.7 days (range 1-6 days). A modified barium study, although considered to be the gold standard of assessment was not performed due to hospital restrictions related to risk for aerosol transmission of the COVID-19 virus, therefore a clinical swallowing evaluation was completed. </w:t>
      </w:r>
      <w:r w:rsidRPr="0020208F">
        <w:rPr>
          <w:color w:val="000000"/>
          <w:sz w:val="20"/>
          <w:szCs w:val="20"/>
        </w:rPr>
        <w:t xml:space="preserve">Both female and male participants were included. It was anticipated that participants would represent diverse ethnicities and varying levels of socio-economic status. </w:t>
      </w:r>
      <w:r w:rsidRPr="0020208F">
        <w:rPr>
          <w:color w:val="000000"/>
          <w:sz w:val="20"/>
          <w:szCs w:val="20"/>
        </w:rPr>
        <w:lastRenderedPageBreak/>
        <w:t xml:space="preserve">Patients with prior history of neurological deficits or dysphagia were excluded. Past history of neurological deficits and dysphagia were determined based on the chart review and/or patient report. Previously treated patients for any speech or swallowing dysfunction were also excluded. None of the patients had a tracheostomy at the time of the clinical swallowing evaluation nor had they received swallowing therapy during this hospitalization prior to the clinical swallowing evaluation. Additionally, none of the patients received a </w:t>
      </w:r>
      <w:proofErr w:type="spellStart"/>
      <w:r w:rsidRPr="0020208F">
        <w:rPr>
          <w:color w:val="000000"/>
          <w:sz w:val="20"/>
          <w:szCs w:val="20"/>
        </w:rPr>
        <w:t>laryngoscopic</w:t>
      </w:r>
      <w:proofErr w:type="spellEnd"/>
      <w:r w:rsidRPr="0020208F">
        <w:rPr>
          <w:color w:val="000000"/>
          <w:sz w:val="20"/>
          <w:szCs w:val="20"/>
        </w:rPr>
        <w:t xml:space="preserve"> evaluation by an otolaryngologist prior to the swallowing evaluation. However, </w:t>
      </w:r>
      <w:proofErr w:type="spellStart"/>
      <w:r w:rsidRPr="0020208F">
        <w:rPr>
          <w:color w:val="000000"/>
          <w:sz w:val="20"/>
          <w:szCs w:val="20"/>
        </w:rPr>
        <w:t>otolaryngologic</w:t>
      </w:r>
      <w:proofErr w:type="spellEnd"/>
      <w:r w:rsidRPr="0020208F">
        <w:rPr>
          <w:color w:val="000000"/>
          <w:sz w:val="20"/>
          <w:szCs w:val="20"/>
        </w:rPr>
        <w:t xml:space="preserve"> evaluations were recommended following the swallowing evaluation as deemed necessary by the clinical Speech-Language Pathologist. Patients with previous history of head and neck cancer were also ineligible for this study. </w:t>
      </w:r>
    </w:p>
    <w:p w14:paraId="69DD2727" w14:textId="77777777" w:rsidR="00ED4C45" w:rsidRPr="0020208F" w:rsidRDefault="00ED4C45" w:rsidP="00ED4C45">
      <w:pPr>
        <w:contextualSpacing/>
        <w:mirrorIndents/>
        <w:jc w:val="both"/>
        <w:rPr>
          <w:color w:val="000000"/>
          <w:sz w:val="20"/>
          <w:szCs w:val="20"/>
        </w:rPr>
      </w:pPr>
    </w:p>
    <w:p w14:paraId="6433F86E" w14:textId="77777777" w:rsidR="00ED4C45" w:rsidRPr="002F4E07" w:rsidRDefault="00ED4C45" w:rsidP="00ED4C45">
      <w:pPr>
        <w:contextualSpacing/>
        <w:mirrorIndents/>
        <w:jc w:val="both"/>
        <w:rPr>
          <w:b/>
          <w:color w:val="000000"/>
          <w:sz w:val="22"/>
          <w:szCs w:val="22"/>
        </w:rPr>
      </w:pPr>
      <w:r w:rsidRPr="002F4E07">
        <w:rPr>
          <w:b/>
          <w:color w:val="000000"/>
          <w:sz w:val="22"/>
          <w:szCs w:val="22"/>
        </w:rPr>
        <w:t>Data Acquisition and Analysis</w:t>
      </w:r>
    </w:p>
    <w:p w14:paraId="38CE7811" w14:textId="77777777" w:rsidR="00ED4C45" w:rsidRPr="0020208F" w:rsidRDefault="00ED4C45" w:rsidP="00ED4C45">
      <w:pPr>
        <w:contextualSpacing/>
        <w:mirrorIndents/>
        <w:jc w:val="both"/>
        <w:rPr>
          <w:color w:val="000000"/>
          <w:sz w:val="20"/>
          <w:szCs w:val="20"/>
        </w:rPr>
      </w:pPr>
    </w:p>
    <w:p w14:paraId="63E0F16D" w14:textId="77777777" w:rsidR="00ED4C45" w:rsidRPr="0020208F" w:rsidRDefault="00ED4C45" w:rsidP="00ED4C45">
      <w:pPr>
        <w:contextualSpacing/>
        <w:mirrorIndents/>
        <w:jc w:val="both"/>
        <w:rPr>
          <w:sz w:val="20"/>
          <w:szCs w:val="20"/>
        </w:rPr>
      </w:pPr>
      <w:r w:rsidRPr="0020208F">
        <w:rPr>
          <w:color w:val="000000"/>
          <w:sz w:val="20"/>
          <w:szCs w:val="20"/>
        </w:rPr>
        <w:t xml:space="preserve">This is a retrospective study. All patients who were sent for a dysphagia clinical evaluation among the admitted patients for COVID-19 related complication from March - April of 2020, were considered for the study. A chart review was conducted to analyze the characteristics of patients with dysphagia. Patient’s age, duration of intubation, presence of dysphagia, and diet recommendation were analyzed. </w:t>
      </w:r>
      <w:r w:rsidRPr="0020208F">
        <w:rPr>
          <w:sz w:val="20"/>
          <w:szCs w:val="20"/>
        </w:rPr>
        <w:t>The presence of dysphagia and diet recommendations were based on findings from the clinical swallowing evaluation conducted by a certified Speech-Language Pathologist. During the clinical swallowing evaluation PO trials were administered and information regarding the patients’ oral and pharyngeal stages of deglutition were assessed.</w:t>
      </w:r>
      <w:r>
        <w:rPr>
          <w:sz w:val="20"/>
          <w:szCs w:val="20"/>
        </w:rPr>
        <w:t xml:space="preserve"> </w:t>
      </w:r>
      <w:r w:rsidRPr="0020208F">
        <w:rPr>
          <w:sz w:val="20"/>
          <w:szCs w:val="20"/>
        </w:rPr>
        <w:t xml:space="preserve">Signs and symptoms of aspiration were monitored. Recommendations for a PO diet were determined based on the patients’ level of function, aspiration risk, and overall presentation for all trials administered. Swallowing techniques were not tried at that point due to the Speech Language Pathologist’s inability to objectively assess their effectiveness at that time. </w:t>
      </w:r>
    </w:p>
    <w:p w14:paraId="479AC6DA" w14:textId="77777777" w:rsidR="00ED4C45" w:rsidRPr="0020208F" w:rsidRDefault="00ED4C45" w:rsidP="00ED4C45">
      <w:pPr>
        <w:contextualSpacing/>
        <w:mirrorIndents/>
        <w:jc w:val="both"/>
        <w:rPr>
          <w:color w:val="000000"/>
          <w:sz w:val="20"/>
          <w:szCs w:val="20"/>
        </w:rPr>
      </w:pPr>
    </w:p>
    <w:p w14:paraId="17CB7463" w14:textId="77777777" w:rsidR="00ED4C45" w:rsidRPr="0020208F" w:rsidRDefault="00ED4C45" w:rsidP="00ED4C45">
      <w:pPr>
        <w:contextualSpacing/>
        <w:mirrorIndents/>
        <w:jc w:val="both"/>
        <w:rPr>
          <w:sz w:val="20"/>
          <w:szCs w:val="20"/>
        </w:rPr>
      </w:pPr>
      <w:r w:rsidRPr="0020208F">
        <w:rPr>
          <w:sz w:val="20"/>
          <w:szCs w:val="20"/>
        </w:rPr>
        <w:t xml:space="preserve">Median (IQR) or frequency count (%) were reported for the patients’ characteristics as appropriate. For continuous data, Wilcoxon two sample test or </w:t>
      </w:r>
      <w:proofErr w:type="spellStart"/>
      <w:r w:rsidRPr="0020208F">
        <w:rPr>
          <w:sz w:val="20"/>
          <w:szCs w:val="20"/>
        </w:rPr>
        <w:t>Kruskal</w:t>
      </w:r>
      <w:proofErr w:type="spellEnd"/>
      <w:r w:rsidRPr="0020208F">
        <w:rPr>
          <w:sz w:val="20"/>
          <w:szCs w:val="20"/>
        </w:rPr>
        <w:t xml:space="preserve">-Wallis test was used to compare two or more groups. For categorical data, chi-square test or Fisher’s exact test were used to observe statistical significance. Results were considered as statistically significant if corresponding p-value &lt;0.05. All analysis was performed using statistical software SAS v 9.4 </w:t>
      </w:r>
      <w:r w:rsidRPr="00735826">
        <w:rPr>
          <w:sz w:val="20"/>
          <w:szCs w:val="20"/>
        </w:rPr>
        <w:t xml:space="preserve">(SAS Institute, Inc., NC, </w:t>
      </w:r>
      <w:proofErr w:type="gramStart"/>
      <w:r w:rsidRPr="00735826">
        <w:rPr>
          <w:sz w:val="20"/>
          <w:szCs w:val="20"/>
        </w:rPr>
        <w:t>USA</w:t>
      </w:r>
      <w:proofErr w:type="gramEnd"/>
      <w:r w:rsidRPr="00735826">
        <w:rPr>
          <w:sz w:val="20"/>
          <w:szCs w:val="20"/>
        </w:rPr>
        <w:t xml:space="preserve">). </w:t>
      </w:r>
    </w:p>
    <w:p w14:paraId="733CAF9C" w14:textId="77777777" w:rsidR="00ED4C45" w:rsidRPr="0020208F" w:rsidRDefault="00ED4C45" w:rsidP="00ED4C45">
      <w:pPr>
        <w:contextualSpacing/>
        <w:mirrorIndents/>
        <w:jc w:val="both"/>
        <w:rPr>
          <w:sz w:val="20"/>
          <w:szCs w:val="20"/>
        </w:rPr>
      </w:pPr>
    </w:p>
    <w:p w14:paraId="7A29F5F8" w14:textId="77777777" w:rsidR="00ED4C45" w:rsidRPr="00F06B17" w:rsidRDefault="00ED4C45" w:rsidP="00ED4C45">
      <w:pPr>
        <w:contextualSpacing/>
        <w:mirrorIndents/>
        <w:jc w:val="both"/>
        <w:rPr>
          <w:b/>
          <w:sz w:val="22"/>
          <w:szCs w:val="22"/>
        </w:rPr>
      </w:pPr>
      <w:r w:rsidRPr="00F06B17">
        <w:rPr>
          <w:b/>
          <w:sz w:val="22"/>
          <w:szCs w:val="22"/>
        </w:rPr>
        <w:t>Results</w:t>
      </w:r>
    </w:p>
    <w:p w14:paraId="36CE2680" w14:textId="77777777" w:rsidR="00ED4C45" w:rsidRPr="0020208F" w:rsidRDefault="00ED4C45" w:rsidP="00ED4C45">
      <w:pPr>
        <w:contextualSpacing/>
        <w:mirrorIndents/>
        <w:jc w:val="both"/>
        <w:rPr>
          <w:sz w:val="20"/>
          <w:szCs w:val="20"/>
        </w:rPr>
      </w:pPr>
    </w:p>
    <w:p w14:paraId="1DA7DCA3" w14:textId="77777777" w:rsidR="00ED4C45" w:rsidRDefault="00ED4C45" w:rsidP="00ED4C45">
      <w:pPr>
        <w:contextualSpacing/>
        <w:mirrorIndents/>
        <w:jc w:val="both"/>
        <w:rPr>
          <w:sz w:val="20"/>
          <w:szCs w:val="20"/>
        </w:rPr>
      </w:pPr>
      <w:r w:rsidRPr="0020208F">
        <w:rPr>
          <w:sz w:val="20"/>
          <w:szCs w:val="20"/>
        </w:rPr>
        <w:t xml:space="preserve">There were 40 patients who were referred for dysphagia evaluation during March to April of 2020, among them one patient was not diagnosed to have dysphagia and was excluded from the analysis. 38 (97%) patients had oral dysphagia and 35 (90%) patients had pharyngeal dysphagia. Among all the COVID-19 patients with dysphagia, 23 (59%) were intubated. This proportion of intubated patients were higher compared to overall COVID-19 patients (proportion of intubation 19%) admitted during the same time period. We observed 16 (41%) non-intubated COVID-19 patients who were diagnosed with dysphagia </w:t>
      </w:r>
      <w:r w:rsidRPr="0082105F">
        <w:rPr>
          <w:color w:val="FF0000"/>
          <w:sz w:val="20"/>
          <w:szCs w:val="20"/>
        </w:rPr>
        <w:t>(Table 1)</w:t>
      </w:r>
      <w:r>
        <w:rPr>
          <w:sz w:val="20"/>
          <w:szCs w:val="20"/>
        </w:rPr>
        <w:t>.</w:t>
      </w:r>
    </w:p>
    <w:p w14:paraId="4BC80E6A" w14:textId="77777777" w:rsidR="00ED4C45" w:rsidRDefault="00ED4C45" w:rsidP="00ED4C45">
      <w:pPr>
        <w:contextualSpacing/>
        <w:mirrorIndents/>
        <w:jc w:val="both"/>
        <w:rPr>
          <w:sz w:val="20"/>
          <w:szCs w:val="20"/>
        </w:rPr>
      </w:pPr>
    </w:p>
    <w:tbl>
      <w:tblPr>
        <w:tblW w:w="8847" w:type="dxa"/>
        <w:tblInd w:w="558" w:type="dxa"/>
        <w:tblLook w:val="04A0" w:firstRow="1" w:lastRow="0" w:firstColumn="1" w:lastColumn="0" w:noHBand="0" w:noVBand="1"/>
      </w:tblPr>
      <w:tblGrid>
        <w:gridCol w:w="1116"/>
        <w:gridCol w:w="2134"/>
        <w:gridCol w:w="1160"/>
        <w:gridCol w:w="1710"/>
        <w:gridCol w:w="1620"/>
        <w:gridCol w:w="1107"/>
      </w:tblGrid>
      <w:tr w:rsidR="00ED4C45" w:rsidRPr="00C7226D" w14:paraId="4F7E5915" w14:textId="77777777" w:rsidTr="007F3687">
        <w:trPr>
          <w:trHeight w:val="120"/>
        </w:trPr>
        <w:tc>
          <w:tcPr>
            <w:tcW w:w="32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DD0FF" w14:textId="77777777" w:rsidR="00ED4C45" w:rsidRPr="00C7226D" w:rsidRDefault="00ED4C45" w:rsidP="007F3687">
            <w:pPr>
              <w:jc w:val="center"/>
              <w:rPr>
                <w:b/>
                <w:bCs/>
                <w:color w:val="000000"/>
                <w:sz w:val="20"/>
                <w:szCs w:val="20"/>
              </w:rPr>
            </w:pPr>
            <w:r w:rsidRPr="00C7226D">
              <w:rPr>
                <w:b/>
                <w:bCs/>
                <w:color w:val="000000"/>
                <w:sz w:val="20"/>
                <w:szCs w:val="20"/>
              </w:rPr>
              <w:t>Characteristics</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5CA7B455" w14:textId="77777777" w:rsidR="00ED4C45" w:rsidRPr="00C7226D" w:rsidRDefault="00ED4C45" w:rsidP="007F3687">
            <w:pPr>
              <w:jc w:val="center"/>
              <w:rPr>
                <w:b/>
                <w:bCs/>
                <w:color w:val="000000"/>
                <w:sz w:val="20"/>
                <w:szCs w:val="20"/>
              </w:rPr>
            </w:pPr>
            <w:r w:rsidRPr="00C7226D">
              <w:rPr>
                <w:b/>
                <w:bCs/>
                <w:color w:val="000000"/>
                <w:sz w:val="20"/>
                <w:szCs w:val="20"/>
              </w:rPr>
              <w:t>Overall</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28BDF7B9" w14:textId="77777777" w:rsidR="00ED4C45" w:rsidRPr="00C7226D" w:rsidRDefault="00ED4C45" w:rsidP="007F3687">
            <w:pPr>
              <w:jc w:val="center"/>
              <w:rPr>
                <w:b/>
                <w:bCs/>
                <w:color w:val="000000"/>
                <w:sz w:val="20"/>
                <w:szCs w:val="20"/>
              </w:rPr>
            </w:pPr>
            <w:r w:rsidRPr="00C7226D">
              <w:rPr>
                <w:b/>
                <w:bCs/>
                <w:color w:val="000000"/>
                <w:sz w:val="20"/>
                <w:szCs w:val="20"/>
              </w:rPr>
              <w:t>Intubated</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AD53BB1" w14:textId="77777777" w:rsidR="00ED4C45" w:rsidRPr="00C7226D" w:rsidRDefault="00ED4C45" w:rsidP="007F3687">
            <w:pPr>
              <w:jc w:val="center"/>
              <w:rPr>
                <w:b/>
                <w:bCs/>
                <w:color w:val="000000"/>
                <w:sz w:val="20"/>
                <w:szCs w:val="20"/>
              </w:rPr>
            </w:pPr>
            <w:r w:rsidRPr="00C7226D">
              <w:rPr>
                <w:b/>
                <w:bCs/>
                <w:color w:val="000000"/>
                <w:sz w:val="20"/>
                <w:szCs w:val="20"/>
              </w:rPr>
              <w:t>Non-intubated</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14:paraId="015FB3B8" w14:textId="77777777" w:rsidR="00ED4C45" w:rsidRPr="00C7226D" w:rsidRDefault="00ED4C45" w:rsidP="007F3687">
            <w:pPr>
              <w:jc w:val="center"/>
              <w:rPr>
                <w:b/>
                <w:bCs/>
                <w:color w:val="000000"/>
                <w:sz w:val="20"/>
                <w:szCs w:val="20"/>
              </w:rPr>
            </w:pPr>
            <w:r w:rsidRPr="00C7226D">
              <w:rPr>
                <w:b/>
                <w:bCs/>
                <w:color w:val="000000"/>
                <w:sz w:val="20"/>
                <w:szCs w:val="20"/>
              </w:rPr>
              <w:t>P-value</w:t>
            </w:r>
          </w:p>
        </w:tc>
      </w:tr>
      <w:tr w:rsidR="00ED4C45" w:rsidRPr="00C7226D" w14:paraId="71E3DCD1" w14:textId="77777777" w:rsidTr="007F3687">
        <w:trPr>
          <w:trHeight w:val="120"/>
        </w:trPr>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2C6029" w14:textId="77777777" w:rsidR="00ED4C45" w:rsidRPr="00C7226D" w:rsidRDefault="00ED4C45" w:rsidP="007F3687">
            <w:pPr>
              <w:jc w:val="center"/>
              <w:rPr>
                <w:color w:val="000000"/>
                <w:sz w:val="20"/>
                <w:szCs w:val="20"/>
              </w:rPr>
            </w:pPr>
            <w:r w:rsidRPr="00C7226D">
              <w:rPr>
                <w:color w:val="000000"/>
                <w:sz w:val="20"/>
                <w:szCs w:val="20"/>
              </w:rPr>
              <w:t>All patients</w:t>
            </w:r>
          </w:p>
        </w:tc>
        <w:tc>
          <w:tcPr>
            <w:tcW w:w="2134" w:type="dxa"/>
            <w:tcBorders>
              <w:top w:val="nil"/>
              <w:left w:val="nil"/>
              <w:bottom w:val="single" w:sz="4" w:space="0" w:color="auto"/>
              <w:right w:val="single" w:sz="4" w:space="0" w:color="auto"/>
            </w:tcBorders>
            <w:shd w:val="clear" w:color="auto" w:fill="auto"/>
            <w:noWrap/>
            <w:vAlign w:val="center"/>
            <w:hideMark/>
          </w:tcPr>
          <w:p w14:paraId="6A71C88D" w14:textId="77777777" w:rsidR="00ED4C45" w:rsidRPr="00C7226D" w:rsidRDefault="00ED4C45" w:rsidP="007F3687">
            <w:pPr>
              <w:jc w:val="center"/>
              <w:rPr>
                <w:color w:val="000000"/>
                <w:sz w:val="20"/>
                <w:szCs w:val="20"/>
              </w:rPr>
            </w:pPr>
            <w:r w:rsidRPr="00C7226D">
              <w:rPr>
                <w:color w:val="000000"/>
                <w:sz w:val="20"/>
                <w:szCs w:val="20"/>
              </w:rPr>
              <w:t>Total, n (%)</w:t>
            </w:r>
          </w:p>
        </w:tc>
        <w:tc>
          <w:tcPr>
            <w:tcW w:w="1160" w:type="dxa"/>
            <w:tcBorders>
              <w:top w:val="nil"/>
              <w:left w:val="nil"/>
              <w:bottom w:val="single" w:sz="4" w:space="0" w:color="auto"/>
              <w:right w:val="single" w:sz="4" w:space="0" w:color="auto"/>
            </w:tcBorders>
            <w:shd w:val="clear" w:color="auto" w:fill="auto"/>
            <w:noWrap/>
            <w:vAlign w:val="center"/>
            <w:hideMark/>
          </w:tcPr>
          <w:p w14:paraId="2A27CA40" w14:textId="77777777" w:rsidR="00ED4C45" w:rsidRPr="00C7226D" w:rsidRDefault="00ED4C45" w:rsidP="007F3687">
            <w:pPr>
              <w:jc w:val="center"/>
              <w:rPr>
                <w:color w:val="000000"/>
                <w:sz w:val="20"/>
                <w:szCs w:val="20"/>
              </w:rPr>
            </w:pPr>
            <w:r w:rsidRPr="00C7226D">
              <w:rPr>
                <w:color w:val="000000"/>
                <w:sz w:val="20"/>
                <w:szCs w:val="20"/>
              </w:rPr>
              <w:t>39</w:t>
            </w:r>
          </w:p>
        </w:tc>
        <w:tc>
          <w:tcPr>
            <w:tcW w:w="1710" w:type="dxa"/>
            <w:tcBorders>
              <w:top w:val="nil"/>
              <w:left w:val="nil"/>
              <w:bottom w:val="single" w:sz="4" w:space="0" w:color="auto"/>
              <w:right w:val="single" w:sz="4" w:space="0" w:color="auto"/>
            </w:tcBorders>
            <w:shd w:val="clear" w:color="auto" w:fill="auto"/>
            <w:noWrap/>
            <w:vAlign w:val="center"/>
            <w:hideMark/>
          </w:tcPr>
          <w:p w14:paraId="5386CAD9" w14:textId="77777777" w:rsidR="00ED4C45" w:rsidRPr="00C7226D" w:rsidRDefault="00ED4C45" w:rsidP="007F3687">
            <w:pPr>
              <w:jc w:val="center"/>
              <w:rPr>
                <w:color w:val="000000"/>
                <w:sz w:val="20"/>
                <w:szCs w:val="20"/>
              </w:rPr>
            </w:pPr>
            <w:r w:rsidRPr="00C7226D">
              <w:rPr>
                <w:color w:val="000000"/>
                <w:sz w:val="20"/>
                <w:szCs w:val="20"/>
              </w:rPr>
              <w:t>23 (59.0)</w:t>
            </w:r>
          </w:p>
        </w:tc>
        <w:tc>
          <w:tcPr>
            <w:tcW w:w="1620" w:type="dxa"/>
            <w:tcBorders>
              <w:top w:val="nil"/>
              <w:left w:val="nil"/>
              <w:bottom w:val="single" w:sz="4" w:space="0" w:color="auto"/>
              <w:right w:val="single" w:sz="4" w:space="0" w:color="auto"/>
            </w:tcBorders>
            <w:shd w:val="clear" w:color="auto" w:fill="auto"/>
            <w:noWrap/>
            <w:vAlign w:val="center"/>
            <w:hideMark/>
          </w:tcPr>
          <w:p w14:paraId="7520B940" w14:textId="77777777" w:rsidR="00ED4C45" w:rsidRPr="00C7226D" w:rsidRDefault="00ED4C45" w:rsidP="007F3687">
            <w:pPr>
              <w:jc w:val="center"/>
              <w:rPr>
                <w:color w:val="000000"/>
                <w:sz w:val="20"/>
                <w:szCs w:val="20"/>
              </w:rPr>
            </w:pPr>
            <w:r w:rsidRPr="00C7226D">
              <w:rPr>
                <w:color w:val="000000"/>
                <w:sz w:val="20"/>
                <w:szCs w:val="20"/>
              </w:rPr>
              <w:t>16 (41.0)</w:t>
            </w:r>
          </w:p>
        </w:tc>
        <w:tc>
          <w:tcPr>
            <w:tcW w:w="1107" w:type="dxa"/>
            <w:tcBorders>
              <w:top w:val="nil"/>
              <w:left w:val="nil"/>
              <w:bottom w:val="single" w:sz="4" w:space="0" w:color="auto"/>
              <w:right w:val="single" w:sz="4" w:space="0" w:color="auto"/>
            </w:tcBorders>
            <w:shd w:val="clear" w:color="auto" w:fill="auto"/>
            <w:noWrap/>
            <w:vAlign w:val="center"/>
            <w:hideMark/>
          </w:tcPr>
          <w:p w14:paraId="036FC4F7" w14:textId="77777777" w:rsidR="00ED4C45" w:rsidRPr="00C7226D" w:rsidRDefault="00ED4C45" w:rsidP="007F3687">
            <w:pPr>
              <w:jc w:val="center"/>
              <w:rPr>
                <w:color w:val="000000"/>
                <w:sz w:val="20"/>
                <w:szCs w:val="20"/>
              </w:rPr>
            </w:pPr>
          </w:p>
        </w:tc>
      </w:tr>
      <w:tr w:rsidR="00ED4C45" w:rsidRPr="00C7226D" w14:paraId="52091238" w14:textId="77777777" w:rsidTr="007F3687">
        <w:trPr>
          <w:trHeight w:val="120"/>
        </w:trPr>
        <w:tc>
          <w:tcPr>
            <w:tcW w:w="1116" w:type="dxa"/>
            <w:vMerge/>
            <w:tcBorders>
              <w:top w:val="nil"/>
              <w:left w:val="single" w:sz="4" w:space="0" w:color="auto"/>
              <w:bottom w:val="single" w:sz="4" w:space="0" w:color="auto"/>
              <w:right w:val="single" w:sz="4" w:space="0" w:color="auto"/>
            </w:tcBorders>
            <w:vAlign w:val="center"/>
            <w:hideMark/>
          </w:tcPr>
          <w:p w14:paraId="4D9B3AC1" w14:textId="77777777" w:rsidR="00ED4C45" w:rsidRPr="00C7226D" w:rsidRDefault="00ED4C45" w:rsidP="007F3687">
            <w:pPr>
              <w:rPr>
                <w:color w:val="000000"/>
                <w:sz w:val="20"/>
                <w:szCs w:val="20"/>
              </w:rPr>
            </w:pPr>
          </w:p>
        </w:tc>
        <w:tc>
          <w:tcPr>
            <w:tcW w:w="2134" w:type="dxa"/>
            <w:tcBorders>
              <w:top w:val="nil"/>
              <w:left w:val="nil"/>
              <w:bottom w:val="single" w:sz="4" w:space="0" w:color="auto"/>
              <w:right w:val="single" w:sz="4" w:space="0" w:color="auto"/>
            </w:tcBorders>
            <w:shd w:val="clear" w:color="auto" w:fill="auto"/>
            <w:noWrap/>
            <w:vAlign w:val="center"/>
            <w:hideMark/>
          </w:tcPr>
          <w:p w14:paraId="5729EFA1" w14:textId="77777777" w:rsidR="00ED4C45" w:rsidRPr="00C7226D" w:rsidRDefault="00ED4C45" w:rsidP="007F3687">
            <w:pPr>
              <w:jc w:val="center"/>
              <w:rPr>
                <w:color w:val="000000"/>
                <w:sz w:val="20"/>
                <w:szCs w:val="20"/>
              </w:rPr>
            </w:pPr>
            <w:r w:rsidRPr="00C7226D">
              <w:rPr>
                <w:color w:val="000000"/>
                <w:sz w:val="20"/>
                <w:szCs w:val="20"/>
              </w:rPr>
              <w:t>Age, median (IQR)</w:t>
            </w:r>
          </w:p>
        </w:tc>
        <w:tc>
          <w:tcPr>
            <w:tcW w:w="1160" w:type="dxa"/>
            <w:tcBorders>
              <w:top w:val="nil"/>
              <w:left w:val="nil"/>
              <w:bottom w:val="single" w:sz="4" w:space="0" w:color="auto"/>
              <w:right w:val="single" w:sz="4" w:space="0" w:color="auto"/>
            </w:tcBorders>
            <w:shd w:val="clear" w:color="auto" w:fill="auto"/>
            <w:noWrap/>
            <w:vAlign w:val="center"/>
            <w:hideMark/>
          </w:tcPr>
          <w:p w14:paraId="7EDAD471" w14:textId="77777777" w:rsidR="00ED4C45" w:rsidRPr="00C7226D" w:rsidRDefault="00ED4C45" w:rsidP="007F3687">
            <w:pPr>
              <w:jc w:val="center"/>
              <w:rPr>
                <w:color w:val="000000"/>
                <w:sz w:val="20"/>
                <w:szCs w:val="20"/>
              </w:rPr>
            </w:pPr>
            <w:r w:rsidRPr="00C7226D">
              <w:rPr>
                <w:color w:val="000000"/>
                <w:sz w:val="20"/>
                <w:szCs w:val="20"/>
              </w:rPr>
              <w:t>72.0 (61.0- 79.0)</w:t>
            </w:r>
          </w:p>
        </w:tc>
        <w:tc>
          <w:tcPr>
            <w:tcW w:w="1710" w:type="dxa"/>
            <w:tcBorders>
              <w:top w:val="nil"/>
              <w:left w:val="nil"/>
              <w:bottom w:val="single" w:sz="4" w:space="0" w:color="auto"/>
              <w:right w:val="single" w:sz="4" w:space="0" w:color="auto"/>
            </w:tcBorders>
            <w:shd w:val="clear" w:color="auto" w:fill="auto"/>
            <w:noWrap/>
            <w:vAlign w:val="center"/>
            <w:hideMark/>
          </w:tcPr>
          <w:p w14:paraId="2C14F4E7" w14:textId="77777777" w:rsidR="00ED4C45" w:rsidRPr="00C7226D" w:rsidRDefault="00ED4C45" w:rsidP="007F3687">
            <w:pPr>
              <w:jc w:val="center"/>
              <w:rPr>
                <w:color w:val="000000"/>
                <w:sz w:val="20"/>
                <w:szCs w:val="20"/>
              </w:rPr>
            </w:pPr>
            <w:r w:rsidRPr="00C7226D">
              <w:rPr>
                <w:color w:val="000000"/>
                <w:sz w:val="20"/>
                <w:szCs w:val="20"/>
              </w:rPr>
              <w:t>66.0 (61.0-75.0)</w:t>
            </w:r>
          </w:p>
        </w:tc>
        <w:tc>
          <w:tcPr>
            <w:tcW w:w="1620" w:type="dxa"/>
            <w:tcBorders>
              <w:top w:val="nil"/>
              <w:left w:val="nil"/>
              <w:bottom w:val="single" w:sz="4" w:space="0" w:color="auto"/>
              <w:right w:val="single" w:sz="4" w:space="0" w:color="auto"/>
            </w:tcBorders>
            <w:shd w:val="clear" w:color="auto" w:fill="auto"/>
            <w:noWrap/>
            <w:vAlign w:val="center"/>
            <w:hideMark/>
          </w:tcPr>
          <w:p w14:paraId="3B041384" w14:textId="77777777" w:rsidR="00ED4C45" w:rsidRPr="00C7226D" w:rsidRDefault="00ED4C45" w:rsidP="007F3687">
            <w:pPr>
              <w:jc w:val="center"/>
              <w:rPr>
                <w:color w:val="000000"/>
                <w:sz w:val="20"/>
                <w:szCs w:val="20"/>
              </w:rPr>
            </w:pPr>
            <w:r w:rsidRPr="00C7226D">
              <w:rPr>
                <w:color w:val="000000"/>
                <w:sz w:val="20"/>
                <w:szCs w:val="20"/>
              </w:rPr>
              <w:t>79.0 (74.0 - 84.0)</w:t>
            </w:r>
          </w:p>
        </w:tc>
        <w:tc>
          <w:tcPr>
            <w:tcW w:w="1107" w:type="dxa"/>
            <w:tcBorders>
              <w:top w:val="nil"/>
              <w:left w:val="nil"/>
              <w:bottom w:val="single" w:sz="4" w:space="0" w:color="auto"/>
              <w:right w:val="single" w:sz="4" w:space="0" w:color="auto"/>
            </w:tcBorders>
            <w:shd w:val="clear" w:color="auto" w:fill="auto"/>
            <w:noWrap/>
            <w:vAlign w:val="center"/>
            <w:hideMark/>
          </w:tcPr>
          <w:p w14:paraId="266D8160" w14:textId="77777777" w:rsidR="00ED4C45" w:rsidRPr="00C7226D" w:rsidRDefault="00ED4C45" w:rsidP="007F3687">
            <w:pPr>
              <w:jc w:val="center"/>
              <w:rPr>
                <w:color w:val="000000"/>
                <w:sz w:val="20"/>
                <w:szCs w:val="20"/>
              </w:rPr>
            </w:pPr>
            <w:r w:rsidRPr="00C7226D">
              <w:rPr>
                <w:color w:val="000000"/>
                <w:sz w:val="20"/>
                <w:szCs w:val="20"/>
              </w:rPr>
              <w:t>0.002</w:t>
            </w:r>
          </w:p>
        </w:tc>
      </w:tr>
      <w:tr w:rsidR="00ED4C45" w:rsidRPr="00C7226D" w14:paraId="3BFF361C" w14:textId="77777777" w:rsidTr="007F3687">
        <w:trPr>
          <w:trHeight w:val="120"/>
        </w:trPr>
        <w:tc>
          <w:tcPr>
            <w:tcW w:w="1116" w:type="dxa"/>
            <w:vMerge/>
            <w:tcBorders>
              <w:top w:val="nil"/>
              <w:left w:val="single" w:sz="4" w:space="0" w:color="auto"/>
              <w:bottom w:val="single" w:sz="4" w:space="0" w:color="auto"/>
              <w:right w:val="single" w:sz="4" w:space="0" w:color="auto"/>
            </w:tcBorders>
            <w:vAlign w:val="center"/>
            <w:hideMark/>
          </w:tcPr>
          <w:p w14:paraId="410CE016" w14:textId="77777777" w:rsidR="00ED4C45" w:rsidRPr="00C7226D" w:rsidRDefault="00ED4C45" w:rsidP="007F3687">
            <w:pPr>
              <w:rPr>
                <w:color w:val="000000"/>
                <w:sz w:val="20"/>
                <w:szCs w:val="20"/>
              </w:rPr>
            </w:pPr>
          </w:p>
        </w:tc>
        <w:tc>
          <w:tcPr>
            <w:tcW w:w="2134" w:type="dxa"/>
            <w:tcBorders>
              <w:top w:val="nil"/>
              <w:left w:val="nil"/>
              <w:bottom w:val="single" w:sz="4" w:space="0" w:color="auto"/>
              <w:right w:val="single" w:sz="4" w:space="0" w:color="auto"/>
            </w:tcBorders>
            <w:shd w:val="clear" w:color="auto" w:fill="auto"/>
            <w:noWrap/>
            <w:vAlign w:val="center"/>
            <w:hideMark/>
          </w:tcPr>
          <w:p w14:paraId="25FD7B7E" w14:textId="77777777" w:rsidR="00ED4C45" w:rsidRPr="00C7226D" w:rsidRDefault="00ED4C45" w:rsidP="007F3687">
            <w:pPr>
              <w:jc w:val="center"/>
              <w:rPr>
                <w:color w:val="000000"/>
                <w:sz w:val="20"/>
                <w:szCs w:val="20"/>
              </w:rPr>
            </w:pPr>
            <w:r w:rsidRPr="00C7226D">
              <w:rPr>
                <w:color w:val="000000"/>
                <w:sz w:val="20"/>
                <w:szCs w:val="20"/>
              </w:rPr>
              <w:t>Intubation duration, median (IQR)</w:t>
            </w:r>
          </w:p>
        </w:tc>
        <w:tc>
          <w:tcPr>
            <w:tcW w:w="1160" w:type="dxa"/>
            <w:tcBorders>
              <w:top w:val="nil"/>
              <w:left w:val="nil"/>
              <w:bottom w:val="single" w:sz="4" w:space="0" w:color="auto"/>
              <w:right w:val="single" w:sz="4" w:space="0" w:color="auto"/>
            </w:tcBorders>
            <w:shd w:val="clear" w:color="auto" w:fill="auto"/>
            <w:noWrap/>
            <w:vAlign w:val="center"/>
            <w:hideMark/>
          </w:tcPr>
          <w:p w14:paraId="08775FE7" w14:textId="77777777" w:rsidR="00ED4C45" w:rsidRPr="00C7226D" w:rsidRDefault="00ED4C45" w:rsidP="007F3687">
            <w:pPr>
              <w:jc w:val="center"/>
              <w:rPr>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66A6CD33" w14:textId="77777777" w:rsidR="00ED4C45" w:rsidRPr="00C7226D" w:rsidRDefault="00ED4C45" w:rsidP="007F3687">
            <w:pPr>
              <w:jc w:val="center"/>
              <w:rPr>
                <w:color w:val="000000"/>
                <w:sz w:val="20"/>
                <w:szCs w:val="20"/>
              </w:rPr>
            </w:pPr>
            <w:r w:rsidRPr="00C7226D">
              <w:rPr>
                <w:color w:val="000000"/>
                <w:sz w:val="20"/>
                <w:szCs w:val="20"/>
              </w:rPr>
              <w:t>12.0 (5.0 - 16.0)</w:t>
            </w:r>
          </w:p>
        </w:tc>
        <w:tc>
          <w:tcPr>
            <w:tcW w:w="1620" w:type="dxa"/>
            <w:tcBorders>
              <w:top w:val="nil"/>
              <w:left w:val="nil"/>
              <w:bottom w:val="single" w:sz="4" w:space="0" w:color="auto"/>
              <w:right w:val="single" w:sz="4" w:space="0" w:color="auto"/>
            </w:tcBorders>
            <w:shd w:val="clear" w:color="auto" w:fill="auto"/>
            <w:noWrap/>
            <w:vAlign w:val="center"/>
            <w:hideMark/>
          </w:tcPr>
          <w:p w14:paraId="281B04C8" w14:textId="77777777" w:rsidR="00ED4C45" w:rsidRPr="00C7226D" w:rsidRDefault="00ED4C45" w:rsidP="007F3687">
            <w:pPr>
              <w:jc w:val="center"/>
              <w:rPr>
                <w:color w:val="000000"/>
                <w:sz w:val="20"/>
                <w:szCs w:val="20"/>
              </w:rPr>
            </w:pPr>
          </w:p>
        </w:tc>
        <w:tc>
          <w:tcPr>
            <w:tcW w:w="1107" w:type="dxa"/>
            <w:tcBorders>
              <w:top w:val="nil"/>
              <w:left w:val="nil"/>
              <w:bottom w:val="single" w:sz="4" w:space="0" w:color="auto"/>
              <w:right w:val="single" w:sz="4" w:space="0" w:color="auto"/>
            </w:tcBorders>
            <w:shd w:val="clear" w:color="auto" w:fill="auto"/>
            <w:noWrap/>
            <w:vAlign w:val="center"/>
            <w:hideMark/>
          </w:tcPr>
          <w:p w14:paraId="2F932BAC" w14:textId="77777777" w:rsidR="00ED4C45" w:rsidRPr="00C7226D" w:rsidRDefault="00ED4C45" w:rsidP="007F3687">
            <w:pPr>
              <w:jc w:val="center"/>
              <w:rPr>
                <w:color w:val="000000"/>
                <w:sz w:val="20"/>
                <w:szCs w:val="20"/>
              </w:rPr>
            </w:pPr>
          </w:p>
        </w:tc>
      </w:tr>
      <w:tr w:rsidR="00ED4C45" w:rsidRPr="00C7226D" w14:paraId="6E65C68A" w14:textId="77777777" w:rsidTr="007F3687">
        <w:trPr>
          <w:trHeight w:val="120"/>
        </w:trPr>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CB94BB" w14:textId="77777777" w:rsidR="00ED4C45" w:rsidRPr="00C7226D" w:rsidRDefault="00ED4C45" w:rsidP="007F3687">
            <w:pPr>
              <w:jc w:val="center"/>
              <w:rPr>
                <w:color w:val="000000"/>
                <w:sz w:val="20"/>
                <w:szCs w:val="20"/>
              </w:rPr>
            </w:pPr>
            <w:r w:rsidRPr="00C7226D">
              <w:rPr>
                <w:color w:val="000000"/>
                <w:sz w:val="20"/>
                <w:szCs w:val="20"/>
              </w:rPr>
              <w:t>Oral dysphagia patients</w:t>
            </w:r>
          </w:p>
        </w:tc>
        <w:tc>
          <w:tcPr>
            <w:tcW w:w="2134" w:type="dxa"/>
            <w:tcBorders>
              <w:top w:val="nil"/>
              <w:left w:val="nil"/>
              <w:bottom w:val="single" w:sz="4" w:space="0" w:color="auto"/>
              <w:right w:val="single" w:sz="4" w:space="0" w:color="auto"/>
            </w:tcBorders>
            <w:shd w:val="clear" w:color="auto" w:fill="auto"/>
            <w:noWrap/>
            <w:vAlign w:val="center"/>
            <w:hideMark/>
          </w:tcPr>
          <w:p w14:paraId="4515AB7E" w14:textId="77777777" w:rsidR="00ED4C45" w:rsidRPr="00C7226D" w:rsidRDefault="00ED4C45" w:rsidP="007F3687">
            <w:pPr>
              <w:jc w:val="center"/>
              <w:rPr>
                <w:color w:val="000000"/>
                <w:sz w:val="20"/>
                <w:szCs w:val="20"/>
              </w:rPr>
            </w:pPr>
            <w:r w:rsidRPr="00C7226D">
              <w:rPr>
                <w:color w:val="000000"/>
                <w:sz w:val="20"/>
                <w:szCs w:val="20"/>
              </w:rPr>
              <w:t>Total, n (%)</w:t>
            </w:r>
          </w:p>
        </w:tc>
        <w:tc>
          <w:tcPr>
            <w:tcW w:w="1160" w:type="dxa"/>
            <w:tcBorders>
              <w:top w:val="nil"/>
              <w:left w:val="nil"/>
              <w:bottom w:val="single" w:sz="4" w:space="0" w:color="auto"/>
              <w:right w:val="single" w:sz="4" w:space="0" w:color="auto"/>
            </w:tcBorders>
            <w:shd w:val="clear" w:color="auto" w:fill="auto"/>
            <w:noWrap/>
            <w:vAlign w:val="center"/>
            <w:hideMark/>
          </w:tcPr>
          <w:p w14:paraId="6B60C747" w14:textId="77777777" w:rsidR="00ED4C45" w:rsidRPr="00C7226D" w:rsidRDefault="00ED4C45" w:rsidP="007F3687">
            <w:pPr>
              <w:jc w:val="center"/>
              <w:rPr>
                <w:color w:val="000000"/>
                <w:sz w:val="20"/>
                <w:szCs w:val="20"/>
              </w:rPr>
            </w:pPr>
            <w:r w:rsidRPr="00C7226D">
              <w:rPr>
                <w:color w:val="000000"/>
                <w:sz w:val="20"/>
                <w:szCs w:val="20"/>
              </w:rPr>
              <w:t>38 (97.4)</w:t>
            </w:r>
          </w:p>
        </w:tc>
        <w:tc>
          <w:tcPr>
            <w:tcW w:w="1710" w:type="dxa"/>
            <w:tcBorders>
              <w:top w:val="nil"/>
              <w:left w:val="nil"/>
              <w:bottom w:val="single" w:sz="4" w:space="0" w:color="auto"/>
              <w:right w:val="single" w:sz="4" w:space="0" w:color="auto"/>
            </w:tcBorders>
            <w:shd w:val="clear" w:color="auto" w:fill="auto"/>
            <w:noWrap/>
            <w:vAlign w:val="center"/>
            <w:hideMark/>
          </w:tcPr>
          <w:p w14:paraId="7AC9EC12" w14:textId="77777777" w:rsidR="00ED4C45" w:rsidRPr="00C7226D" w:rsidRDefault="00ED4C45" w:rsidP="007F3687">
            <w:pPr>
              <w:jc w:val="center"/>
              <w:rPr>
                <w:color w:val="000000"/>
                <w:sz w:val="20"/>
                <w:szCs w:val="20"/>
              </w:rPr>
            </w:pPr>
            <w:r w:rsidRPr="00C7226D">
              <w:rPr>
                <w:color w:val="000000"/>
                <w:sz w:val="20"/>
                <w:szCs w:val="20"/>
              </w:rPr>
              <w:t>23</w:t>
            </w:r>
          </w:p>
        </w:tc>
        <w:tc>
          <w:tcPr>
            <w:tcW w:w="1620" w:type="dxa"/>
            <w:tcBorders>
              <w:top w:val="nil"/>
              <w:left w:val="nil"/>
              <w:bottom w:val="single" w:sz="4" w:space="0" w:color="auto"/>
              <w:right w:val="single" w:sz="4" w:space="0" w:color="auto"/>
            </w:tcBorders>
            <w:shd w:val="clear" w:color="auto" w:fill="auto"/>
            <w:noWrap/>
            <w:vAlign w:val="center"/>
            <w:hideMark/>
          </w:tcPr>
          <w:p w14:paraId="2F72635B" w14:textId="77777777" w:rsidR="00ED4C45" w:rsidRPr="00C7226D" w:rsidRDefault="00ED4C45" w:rsidP="007F3687">
            <w:pPr>
              <w:jc w:val="center"/>
              <w:rPr>
                <w:color w:val="000000"/>
                <w:sz w:val="20"/>
                <w:szCs w:val="20"/>
              </w:rPr>
            </w:pPr>
            <w:r w:rsidRPr="00C7226D">
              <w:rPr>
                <w:color w:val="000000"/>
                <w:sz w:val="20"/>
                <w:szCs w:val="20"/>
              </w:rPr>
              <w:t>15</w:t>
            </w:r>
          </w:p>
        </w:tc>
        <w:tc>
          <w:tcPr>
            <w:tcW w:w="1107" w:type="dxa"/>
            <w:tcBorders>
              <w:top w:val="nil"/>
              <w:left w:val="nil"/>
              <w:bottom w:val="single" w:sz="4" w:space="0" w:color="auto"/>
              <w:right w:val="single" w:sz="4" w:space="0" w:color="auto"/>
            </w:tcBorders>
            <w:shd w:val="clear" w:color="auto" w:fill="auto"/>
            <w:noWrap/>
            <w:vAlign w:val="center"/>
            <w:hideMark/>
          </w:tcPr>
          <w:p w14:paraId="525A546D" w14:textId="77777777" w:rsidR="00ED4C45" w:rsidRPr="00C7226D" w:rsidRDefault="00ED4C45" w:rsidP="007F3687">
            <w:pPr>
              <w:jc w:val="center"/>
              <w:rPr>
                <w:color w:val="000000"/>
                <w:sz w:val="20"/>
                <w:szCs w:val="20"/>
              </w:rPr>
            </w:pPr>
          </w:p>
        </w:tc>
      </w:tr>
      <w:tr w:rsidR="00ED4C45" w:rsidRPr="00C7226D" w14:paraId="3E1BF453" w14:textId="77777777" w:rsidTr="007F3687">
        <w:trPr>
          <w:trHeight w:val="120"/>
        </w:trPr>
        <w:tc>
          <w:tcPr>
            <w:tcW w:w="1116" w:type="dxa"/>
            <w:vMerge/>
            <w:tcBorders>
              <w:top w:val="nil"/>
              <w:left w:val="single" w:sz="4" w:space="0" w:color="auto"/>
              <w:bottom w:val="single" w:sz="4" w:space="0" w:color="auto"/>
              <w:right w:val="single" w:sz="4" w:space="0" w:color="auto"/>
            </w:tcBorders>
            <w:vAlign w:val="center"/>
            <w:hideMark/>
          </w:tcPr>
          <w:p w14:paraId="517EA061" w14:textId="77777777" w:rsidR="00ED4C45" w:rsidRPr="00C7226D" w:rsidRDefault="00ED4C45" w:rsidP="007F3687">
            <w:pPr>
              <w:rPr>
                <w:color w:val="000000"/>
                <w:sz w:val="20"/>
                <w:szCs w:val="20"/>
              </w:rPr>
            </w:pPr>
          </w:p>
        </w:tc>
        <w:tc>
          <w:tcPr>
            <w:tcW w:w="2134" w:type="dxa"/>
            <w:tcBorders>
              <w:top w:val="nil"/>
              <w:left w:val="nil"/>
              <w:bottom w:val="single" w:sz="4" w:space="0" w:color="auto"/>
              <w:right w:val="single" w:sz="4" w:space="0" w:color="auto"/>
            </w:tcBorders>
            <w:shd w:val="clear" w:color="auto" w:fill="auto"/>
            <w:noWrap/>
            <w:vAlign w:val="center"/>
            <w:hideMark/>
          </w:tcPr>
          <w:p w14:paraId="01DB9A02" w14:textId="77777777" w:rsidR="00ED4C45" w:rsidRPr="00C7226D" w:rsidRDefault="00ED4C45" w:rsidP="007F3687">
            <w:pPr>
              <w:jc w:val="center"/>
              <w:rPr>
                <w:color w:val="000000"/>
                <w:sz w:val="20"/>
                <w:szCs w:val="20"/>
              </w:rPr>
            </w:pPr>
            <w:r w:rsidRPr="00C7226D">
              <w:rPr>
                <w:color w:val="000000"/>
                <w:sz w:val="20"/>
                <w:szCs w:val="20"/>
              </w:rPr>
              <w:t>Age, median (IQR)</w:t>
            </w:r>
          </w:p>
        </w:tc>
        <w:tc>
          <w:tcPr>
            <w:tcW w:w="1160" w:type="dxa"/>
            <w:tcBorders>
              <w:top w:val="nil"/>
              <w:left w:val="nil"/>
              <w:bottom w:val="single" w:sz="4" w:space="0" w:color="auto"/>
              <w:right w:val="single" w:sz="4" w:space="0" w:color="auto"/>
            </w:tcBorders>
            <w:shd w:val="clear" w:color="auto" w:fill="auto"/>
            <w:noWrap/>
            <w:vAlign w:val="center"/>
            <w:hideMark/>
          </w:tcPr>
          <w:p w14:paraId="60B0005D" w14:textId="77777777" w:rsidR="00ED4C45" w:rsidRPr="00C7226D" w:rsidRDefault="00ED4C45" w:rsidP="007F3687">
            <w:pPr>
              <w:jc w:val="center"/>
              <w:rPr>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5B0ACE1F" w14:textId="77777777" w:rsidR="00ED4C45" w:rsidRPr="00C7226D" w:rsidRDefault="00ED4C45" w:rsidP="007F3687">
            <w:pPr>
              <w:jc w:val="center"/>
              <w:rPr>
                <w:color w:val="000000"/>
                <w:sz w:val="20"/>
                <w:szCs w:val="20"/>
              </w:rPr>
            </w:pPr>
            <w:r w:rsidRPr="00C7226D">
              <w:rPr>
                <w:color w:val="000000"/>
                <w:sz w:val="20"/>
                <w:szCs w:val="20"/>
              </w:rPr>
              <w:t>66 (61.0 - 75.0)</w:t>
            </w:r>
          </w:p>
        </w:tc>
        <w:tc>
          <w:tcPr>
            <w:tcW w:w="1620" w:type="dxa"/>
            <w:tcBorders>
              <w:top w:val="nil"/>
              <w:left w:val="nil"/>
              <w:bottom w:val="single" w:sz="4" w:space="0" w:color="auto"/>
              <w:right w:val="single" w:sz="4" w:space="0" w:color="auto"/>
            </w:tcBorders>
            <w:shd w:val="clear" w:color="auto" w:fill="auto"/>
            <w:noWrap/>
            <w:vAlign w:val="center"/>
            <w:hideMark/>
          </w:tcPr>
          <w:p w14:paraId="4892600A" w14:textId="77777777" w:rsidR="00ED4C45" w:rsidRPr="00C7226D" w:rsidRDefault="00ED4C45" w:rsidP="007F3687">
            <w:pPr>
              <w:jc w:val="center"/>
              <w:rPr>
                <w:color w:val="000000"/>
                <w:sz w:val="20"/>
                <w:szCs w:val="20"/>
              </w:rPr>
            </w:pPr>
            <w:r w:rsidRPr="00C7226D">
              <w:rPr>
                <w:color w:val="000000"/>
                <w:sz w:val="20"/>
                <w:szCs w:val="20"/>
              </w:rPr>
              <w:t>79.0 (73.0 - 84.0)</w:t>
            </w:r>
          </w:p>
        </w:tc>
        <w:tc>
          <w:tcPr>
            <w:tcW w:w="1107" w:type="dxa"/>
            <w:tcBorders>
              <w:top w:val="nil"/>
              <w:left w:val="nil"/>
              <w:bottom w:val="single" w:sz="4" w:space="0" w:color="auto"/>
              <w:right w:val="single" w:sz="4" w:space="0" w:color="auto"/>
            </w:tcBorders>
            <w:shd w:val="clear" w:color="auto" w:fill="auto"/>
            <w:noWrap/>
            <w:vAlign w:val="center"/>
            <w:hideMark/>
          </w:tcPr>
          <w:p w14:paraId="327B453D" w14:textId="77777777" w:rsidR="00ED4C45" w:rsidRPr="00C7226D" w:rsidRDefault="00ED4C45" w:rsidP="007F3687">
            <w:pPr>
              <w:jc w:val="center"/>
              <w:rPr>
                <w:color w:val="000000"/>
                <w:sz w:val="20"/>
                <w:szCs w:val="20"/>
              </w:rPr>
            </w:pPr>
            <w:r w:rsidRPr="00C7226D">
              <w:rPr>
                <w:color w:val="000000"/>
                <w:sz w:val="20"/>
                <w:szCs w:val="20"/>
              </w:rPr>
              <w:t>0.004</w:t>
            </w:r>
          </w:p>
        </w:tc>
      </w:tr>
      <w:tr w:rsidR="00ED4C45" w:rsidRPr="00C7226D" w14:paraId="3911EFDB" w14:textId="77777777" w:rsidTr="007F3687">
        <w:trPr>
          <w:trHeight w:val="120"/>
        </w:trPr>
        <w:tc>
          <w:tcPr>
            <w:tcW w:w="1116" w:type="dxa"/>
            <w:vMerge/>
            <w:tcBorders>
              <w:top w:val="nil"/>
              <w:left w:val="single" w:sz="4" w:space="0" w:color="auto"/>
              <w:bottom w:val="single" w:sz="4" w:space="0" w:color="auto"/>
              <w:right w:val="single" w:sz="4" w:space="0" w:color="auto"/>
            </w:tcBorders>
            <w:vAlign w:val="center"/>
            <w:hideMark/>
          </w:tcPr>
          <w:p w14:paraId="5178F2B6" w14:textId="77777777" w:rsidR="00ED4C45" w:rsidRPr="00C7226D" w:rsidRDefault="00ED4C45" w:rsidP="007F3687">
            <w:pPr>
              <w:rPr>
                <w:color w:val="000000"/>
                <w:sz w:val="20"/>
                <w:szCs w:val="20"/>
              </w:rPr>
            </w:pPr>
          </w:p>
        </w:tc>
        <w:tc>
          <w:tcPr>
            <w:tcW w:w="2134" w:type="dxa"/>
            <w:tcBorders>
              <w:top w:val="nil"/>
              <w:left w:val="nil"/>
              <w:bottom w:val="single" w:sz="4" w:space="0" w:color="auto"/>
              <w:right w:val="single" w:sz="4" w:space="0" w:color="auto"/>
            </w:tcBorders>
            <w:shd w:val="clear" w:color="auto" w:fill="auto"/>
            <w:noWrap/>
            <w:vAlign w:val="center"/>
            <w:hideMark/>
          </w:tcPr>
          <w:p w14:paraId="280412CD" w14:textId="77777777" w:rsidR="00ED4C45" w:rsidRPr="00C7226D" w:rsidRDefault="00ED4C45" w:rsidP="007F3687">
            <w:pPr>
              <w:jc w:val="center"/>
              <w:rPr>
                <w:color w:val="000000"/>
                <w:sz w:val="20"/>
                <w:szCs w:val="20"/>
              </w:rPr>
            </w:pPr>
            <w:r w:rsidRPr="00C7226D">
              <w:rPr>
                <w:color w:val="000000"/>
                <w:sz w:val="20"/>
                <w:szCs w:val="20"/>
              </w:rPr>
              <w:t>Intubation duration, median (IQR)</w:t>
            </w:r>
          </w:p>
        </w:tc>
        <w:tc>
          <w:tcPr>
            <w:tcW w:w="1160" w:type="dxa"/>
            <w:tcBorders>
              <w:top w:val="nil"/>
              <w:left w:val="nil"/>
              <w:bottom w:val="single" w:sz="4" w:space="0" w:color="auto"/>
              <w:right w:val="single" w:sz="4" w:space="0" w:color="auto"/>
            </w:tcBorders>
            <w:shd w:val="clear" w:color="auto" w:fill="auto"/>
            <w:noWrap/>
            <w:vAlign w:val="center"/>
            <w:hideMark/>
          </w:tcPr>
          <w:p w14:paraId="3F51FE6A" w14:textId="77777777" w:rsidR="00ED4C45" w:rsidRPr="00C7226D" w:rsidRDefault="00ED4C45" w:rsidP="007F3687">
            <w:pPr>
              <w:jc w:val="center"/>
              <w:rPr>
                <w:b/>
                <w:bCs/>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479A0E56" w14:textId="77777777" w:rsidR="00ED4C45" w:rsidRPr="00C7226D" w:rsidRDefault="00ED4C45" w:rsidP="007F3687">
            <w:pPr>
              <w:jc w:val="center"/>
              <w:rPr>
                <w:b/>
                <w:bCs/>
                <w:color w:val="000000"/>
                <w:sz w:val="20"/>
                <w:szCs w:val="20"/>
              </w:rPr>
            </w:pPr>
            <w:r w:rsidRPr="00C7226D">
              <w:rPr>
                <w:b/>
                <w:bCs/>
                <w:color w:val="000000"/>
                <w:sz w:val="20"/>
                <w:szCs w:val="20"/>
              </w:rPr>
              <w:t>12.0 (5.0 - 16.0)</w:t>
            </w:r>
          </w:p>
        </w:tc>
        <w:tc>
          <w:tcPr>
            <w:tcW w:w="1620" w:type="dxa"/>
            <w:tcBorders>
              <w:top w:val="nil"/>
              <w:left w:val="nil"/>
              <w:bottom w:val="single" w:sz="4" w:space="0" w:color="auto"/>
              <w:right w:val="single" w:sz="4" w:space="0" w:color="auto"/>
            </w:tcBorders>
            <w:shd w:val="clear" w:color="auto" w:fill="auto"/>
            <w:noWrap/>
            <w:vAlign w:val="center"/>
            <w:hideMark/>
          </w:tcPr>
          <w:p w14:paraId="7C24CD4F" w14:textId="77777777" w:rsidR="00ED4C45" w:rsidRPr="00C7226D" w:rsidRDefault="00ED4C45" w:rsidP="007F3687">
            <w:pPr>
              <w:jc w:val="center"/>
              <w:rPr>
                <w:color w:val="000000"/>
                <w:sz w:val="20"/>
                <w:szCs w:val="20"/>
              </w:rPr>
            </w:pPr>
          </w:p>
        </w:tc>
        <w:tc>
          <w:tcPr>
            <w:tcW w:w="1107" w:type="dxa"/>
            <w:tcBorders>
              <w:top w:val="nil"/>
              <w:left w:val="nil"/>
              <w:bottom w:val="single" w:sz="4" w:space="0" w:color="auto"/>
              <w:right w:val="single" w:sz="4" w:space="0" w:color="auto"/>
            </w:tcBorders>
            <w:shd w:val="clear" w:color="auto" w:fill="auto"/>
            <w:noWrap/>
            <w:vAlign w:val="center"/>
            <w:hideMark/>
          </w:tcPr>
          <w:p w14:paraId="2AE54843" w14:textId="77777777" w:rsidR="00ED4C45" w:rsidRPr="00C7226D" w:rsidRDefault="00ED4C45" w:rsidP="007F3687">
            <w:pPr>
              <w:jc w:val="center"/>
              <w:rPr>
                <w:b/>
                <w:bCs/>
                <w:color w:val="000000"/>
                <w:sz w:val="20"/>
                <w:szCs w:val="20"/>
              </w:rPr>
            </w:pPr>
          </w:p>
        </w:tc>
      </w:tr>
      <w:tr w:rsidR="00ED4C45" w:rsidRPr="00C7226D" w14:paraId="3344312E" w14:textId="77777777" w:rsidTr="007F3687">
        <w:trPr>
          <w:trHeight w:val="1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002B8346" w14:textId="77777777" w:rsidR="00ED4C45" w:rsidRPr="00C7226D" w:rsidRDefault="00ED4C45" w:rsidP="007F3687">
            <w:pPr>
              <w:jc w:val="center"/>
              <w:rPr>
                <w:color w:val="000000"/>
                <w:sz w:val="20"/>
                <w:szCs w:val="20"/>
              </w:rPr>
            </w:pPr>
            <w:r w:rsidRPr="00C7226D">
              <w:rPr>
                <w:color w:val="000000"/>
                <w:sz w:val="20"/>
                <w:szCs w:val="20"/>
              </w:rPr>
              <w:t>Pharyngeal dysphagia patients</w:t>
            </w:r>
          </w:p>
        </w:tc>
        <w:tc>
          <w:tcPr>
            <w:tcW w:w="2134" w:type="dxa"/>
            <w:tcBorders>
              <w:top w:val="nil"/>
              <w:left w:val="nil"/>
              <w:bottom w:val="single" w:sz="4" w:space="0" w:color="auto"/>
              <w:right w:val="single" w:sz="4" w:space="0" w:color="auto"/>
            </w:tcBorders>
            <w:shd w:val="clear" w:color="auto" w:fill="auto"/>
            <w:noWrap/>
            <w:vAlign w:val="center"/>
            <w:hideMark/>
          </w:tcPr>
          <w:p w14:paraId="2057B853" w14:textId="77777777" w:rsidR="00ED4C45" w:rsidRPr="00C7226D" w:rsidRDefault="00ED4C45" w:rsidP="007F3687">
            <w:pPr>
              <w:jc w:val="center"/>
              <w:rPr>
                <w:color w:val="000000"/>
                <w:sz w:val="20"/>
                <w:szCs w:val="20"/>
              </w:rPr>
            </w:pPr>
            <w:r w:rsidRPr="00C7226D">
              <w:rPr>
                <w:color w:val="000000"/>
                <w:sz w:val="20"/>
                <w:szCs w:val="20"/>
              </w:rPr>
              <w:t>Total, n (%)</w:t>
            </w:r>
          </w:p>
        </w:tc>
        <w:tc>
          <w:tcPr>
            <w:tcW w:w="1160" w:type="dxa"/>
            <w:tcBorders>
              <w:top w:val="nil"/>
              <w:left w:val="nil"/>
              <w:bottom w:val="single" w:sz="4" w:space="0" w:color="auto"/>
              <w:right w:val="single" w:sz="4" w:space="0" w:color="auto"/>
            </w:tcBorders>
            <w:shd w:val="clear" w:color="auto" w:fill="auto"/>
            <w:noWrap/>
            <w:vAlign w:val="center"/>
            <w:hideMark/>
          </w:tcPr>
          <w:p w14:paraId="6046FBDA" w14:textId="77777777" w:rsidR="00ED4C45" w:rsidRPr="00C7226D" w:rsidRDefault="00ED4C45" w:rsidP="007F3687">
            <w:pPr>
              <w:jc w:val="center"/>
              <w:rPr>
                <w:color w:val="000000"/>
                <w:sz w:val="20"/>
                <w:szCs w:val="20"/>
              </w:rPr>
            </w:pPr>
            <w:r w:rsidRPr="00C7226D">
              <w:rPr>
                <w:color w:val="000000"/>
                <w:sz w:val="20"/>
                <w:szCs w:val="20"/>
              </w:rPr>
              <w:t>35 (89.7)</w:t>
            </w:r>
          </w:p>
        </w:tc>
        <w:tc>
          <w:tcPr>
            <w:tcW w:w="1710" w:type="dxa"/>
            <w:tcBorders>
              <w:top w:val="nil"/>
              <w:left w:val="nil"/>
              <w:bottom w:val="single" w:sz="4" w:space="0" w:color="auto"/>
              <w:right w:val="single" w:sz="4" w:space="0" w:color="auto"/>
            </w:tcBorders>
            <w:shd w:val="clear" w:color="auto" w:fill="auto"/>
            <w:noWrap/>
            <w:vAlign w:val="center"/>
            <w:hideMark/>
          </w:tcPr>
          <w:p w14:paraId="1E38CF29" w14:textId="77777777" w:rsidR="00ED4C45" w:rsidRPr="00C7226D" w:rsidRDefault="00ED4C45" w:rsidP="007F3687">
            <w:pPr>
              <w:jc w:val="center"/>
              <w:rPr>
                <w:color w:val="000000"/>
                <w:sz w:val="20"/>
                <w:szCs w:val="20"/>
              </w:rPr>
            </w:pPr>
            <w:r w:rsidRPr="00C7226D">
              <w:rPr>
                <w:color w:val="000000"/>
                <w:sz w:val="20"/>
                <w:szCs w:val="20"/>
              </w:rPr>
              <w:t>20</w:t>
            </w:r>
          </w:p>
        </w:tc>
        <w:tc>
          <w:tcPr>
            <w:tcW w:w="1620" w:type="dxa"/>
            <w:tcBorders>
              <w:top w:val="nil"/>
              <w:left w:val="nil"/>
              <w:bottom w:val="single" w:sz="4" w:space="0" w:color="auto"/>
              <w:right w:val="single" w:sz="4" w:space="0" w:color="auto"/>
            </w:tcBorders>
            <w:shd w:val="clear" w:color="auto" w:fill="auto"/>
            <w:noWrap/>
            <w:vAlign w:val="center"/>
            <w:hideMark/>
          </w:tcPr>
          <w:p w14:paraId="04702021" w14:textId="77777777" w:rsidR="00ED4C45" w:rsidRPr="00C7226D" w:rsidRDefault="00ED4C45" w:rsidP="007F3687">
            <w:pPr>
              <w:jc w:val="center"/>
              <w:rPr>
                <w:color w:val="000000"/>
                <w:sz w:val="20"/>
                <w:szCs w:val="20"/>
              </w:rPr>
            </w:pPr>
            <w:r w:rsidRPr="00C7226D">
              <w:rPr>
                <w:color w:val="000000"/>
                <w:sz w:val="20"/>
                <w:szCs w:val="20"/>
              </w:rPr>
              <w:t>15</w:t>
            </w:r>
          </w:p>
        </w:tc>
        <w:tc>
          <w:tcPr>
            <w:tcW w:w="1107" w:type="dxa"/>
            <w:tcBorders>
              <w:top w:val="nil"/>
              <w:left w:val="nil"/>
              <w:bottom w:val="single" w:sz="4" w:space="0" w:color="auto"/>
              <w:right w:val="single" w:sz="4" w:space="0" w:color="auto"/>
            </w:tcBorders>
            <w:shd w:val="clear" w:color="auto" w:fill="auto"/>
            <w:noWrap/>
            <w:vAlign w:val="center"/>
            <w:hideMark/>
          </w:tcPr>
          <w:p w14:paraId="5C8D495C" w14:textId="77777777" w:rsidR="00ED4C45" w:rsidRPr="00C7226D" w:rsidRDefault="00ED4C45" w:rsidP="007F3687">
            <w:pPr>
              <w:jc w:val="center"/>
              <w:rPr>
                <w:color w:val="000000"/>
                <w:sz w:val="20"/>
                <w:szCs w:val="20"/>
              </w:rPr>
            </w:pPr>
          </w:p>
        </w:tc>
      </w:tr>
    </w:tbl>
    <w:p w14:paraId="5A1F749F" w14:textId="77777777" w:rsidR="00ED4C45" w:rsidRDefault="00ED4C45" w:rsidP="00ED4C45">
      <w:pPr>
        <w:contextualSpacing/>
        <w:mirrorIndents/>
        <w:jc w:val="both"/>
        <w:rPr>
          <w:sz w:val="20"/>
          <w:szCs w:val="20"/>
        </w:rPr>
      </w:pPr>
    </w:p>
    <w:p w14:paraId="03C9D979" w14:textId="77777777" w:rsidR="00ED4C45" w:rsidRDefault="00ED4C45" w:rsidP="00ED4C45">
      <w:pPr>
        <w:contextualSpacing/>
        <w:mirrorIndents/>
        <w:jc w:val="center"/>
        <w:rPr>
          <w:sz w:val="20"/>
          <w:szCs w:val="20"/>
        </w:rPr>
      </w:pPr>
      <w:r w:rsidRPr="00A70FA7">
        <w:rPr>
          <w:b/>
          <w:sz w:val="20"/>
          <w:szCs w:val="20"/>
        </w:rPr>
        <w:t>Table 1:</w:t>
      </w:r>
      <w:r w:rsidRPr="00F850A4">
        <w:rPr>
          <w:sz w:val="20"/>
          <w:szCs w:val="20"/>
        </w:rPr>
        <w:t xml:space="preserve"> Patients baseline characteristics by intubation status</w:t>
      </w:r>
      <w:r>
        <w:rPr>
          <w:sz w:val="20"/>
          <w:szCs w:val="20"/>
        </w:rPr>
        <w:t>.</w:t>
      </w:r>
    </w:p>
    <w:p w14:paraId="71A8A509" w14:textId="77777777" w:rsidR="00ED4C45" w:rsidRPr="0020208F" w:rsidRDefault="00ED4C45" w:rsidP="00ED4C45">
      <w:pPr>
        <w:contextualSpacing/>
        <w:mirrorIndents/>
        <w:jc w:val="both"/>
        <w:rPr>
          <w:sz w:val="20"/>
          <w:szCs w:val="20"/>
        </w:rPr>
      </w:pPr>
    </w:p>
    <w:p w14:paraId="6DD03F4E" w14:textId="77777777" w:rsidR="00ED4C45" w:rsidRPr="0020208F" w:rsidRDefault="00ED4C45" w:rsidP="00ED4C45">
      <w:pPr>
        <w:contextualSpacing/>
        <w:mirrorIndents/>
        <w:jc w:val="both"/>
        <w:rPr>
          <w:color w:val="000000"/>
          <w:sz w:val="20"/>
          <w:szCs w:val="20"/>
        </w:rPr>
      </w:pPr>
      <w:r w:rsidRPr="0020208F">
        <w:rPr>
          <w:sz w:val="20"/>
          <w:szCs w:val="20"/>
        </w:rPr>
        <w:t xml:space="preserve">Median age of the patients was 72.0 (IQR 61.0-79.0). Non-intubated patients had a higher median age (median 79, IQR 74.0-84.0) as compared to </w:t>
      </w:r>
      <w:proofErr w:type="gramStart"/>
      <w:r w:rsidRPr="0020208F">
        <w:rPr>
          <w:sz w:val="20"/>
          <w:szCs w:val="20"/>
        </w:rPr>
        <w:t>intubated</w:t>
      </w:r>
      <w:proofErr w:type="gramEnd"/>
      <w:r w:rsidRPr="0020208F">
        <w:rPr>
          <w:sz w:val="20"/>
          <w:szCs w:val="20"/>
        </w:rPr>
        <w:t xml:space="preserve"> patients (median 66, IQR 61.0-75.0). The difference in age among </w:t>
      </w:r>
      <w:r w:rsidRPr="0020208F">
        <w:rPr>
          <w:sz w:val="20"/>
          <w:szCs w:val="20"/>
        </w:rPr>
        <w:lastRenderedPageBreak/>
        <w:t xml:space="preserve">the two groups were statistically significant (p&lt; 0.002). </w:t>
      </w:r>
      <w:r w:rsidRPr="0020208F">
        <w:rPr>
          <w:color w:val="000000"/>
          <w:sz w:val="20"/>
          <w:szCs w:val="20"/>
        </w:rPr>
        <w:t>We observed similar results on age differences for intubated and non-intubated patients by oral or pharyngeal dysphagia.</w:t>
      </w:r>
    </w:p>
    <w:p w14:paraId="6919890C" w14:textId="77777777" w:rsidR="00ED4C45" w:rsidRPr="0020208F" w:rsidRDefault="00ED4C45" w:rsidP="00ED4C45">
      <w:pPr>
        <w:contextualSpacing/>
        <w:mirrorIndents/>
        <w:jc w:val="both"/>
        <w:rPr>
          <w:color w:val="000000"/>
          <w:sz w:val="20"/>
          <w:szCs w:val="20"/>
        </w:rPr>
      </w:pPr>
    </w:p>
    <w:p w14:paraId="13AB78FD" w14:textId="77777777" w:rsidR="00ED4C45" w:rsidRDefault="00ED4C45" w:rsidP="00ED4C45">
      <w:pPr>
        <w:contextualSpacing/>
        <w:mirrorIndents/>
        <w:jc w:val="both"/>
        <w:rPr>
          <w:color w:val="000000"/>
          <w:sz w:val="20"/>
          <w:szCs w:val="20"/>
        </w:rPr>
      </w:pPr>
      <w:r w:rsidRPr="0020208F">
        <w:rPr>
          <w:color w:val="000000"/>
          <w:sz w:val="20"/>
          <w:szCs w:val="20"/>
        </w:rPr>
        <w:t xml:space="preserve">Among all the patients with dysphagia, 18 (46.2%) patients were recommended to be NPO. We observed that a higher proportion of intubated patients required NPO as compared to the non-intubated patients. </w:t>
      </w:r>
      <w:r w:rsidRPr="0020208F">
        <w:rPr>
          <w:sz w:val="20"/>
          <w:szCs w:val="20"/>
        </w:rPr>
        <w:t>Among the intubated patients 12 (52.2%) were recommended to be NPO, and among the non-intubated patients 6 (37.5%) were recommended to be NPO. We failed to observe statistically significant difference (p&lt;0.37). Similar results are observed by the two types of dysphagia.</w:t>
      </w:r>
      <w:r w:rsidRPr="0020208F">
        <w:rPr>
          <w:color w:val="000000"/>
          <w:sz w:val="20"/>
          <w:szCs w:val="20"/>
        </w:rPr>
        <w:t xml:space="preserve"> We also observed that patients who required NPO status had a higher median age (median 74, IQR 67-83) as compared to the patients with PO (median 66, IQR 61-79). We failed to observe statistical significance (p&lt;0.38) </w:t>
      </w:r>
      <w:r w:rsidRPr="00687197">
        <w:rPr>
          <w:color w:val="FF0000"/>
          <w:sz w:val="20"/>
          <w:szCs w:val="20"/>
        </w:rPr>
        <w:t>(Table 2)</w:t>
      </w:r>
      <w:r w:rsidRPr="0020208F">
        <w:rPr>
          <w:color w:val="000000"/>
          <w:sz w:val="20"/>
          <w:szCs w:val="20"/>
        </w:rPr>
        <w:t>.</w:t>
      </w:r>
    </w:p>
    <w:p w14:paraId="344D3D67" w14:textId="77777777" w:rsidR="00ED4C45" w:rsidRDefault="00ED4C45" w:rsidP="00ED4C45">
      <w:pPr>
        <w:contextualSpacing/>
        <w:mirrorIndents/>
        <w:jc w:val="both"/>
        <w:rPr>
          <w:color w:val="000000"/>
          <w:sz w:val="20"/>
          <w:szCs w:val="20"/>
        </w:rPr>
      </w:pPr>
    </w:p>
    <w:tbl>
      <w:tblPr>
        <w:tblW w:w="6030" w:type="dxa"/>
        <w:jc w:val="center"/>
        <w:tblLook w:val="04A0" w:firstRow="1" w:lastRow="0" w:firstColumn="1" w:lastColumn="0" w:noHBand="0" w:noVBand="1"/>
      </w:tblPr>
      <w:tblGrid>
        <w:gridCol w:w="2250"/>
        <w:gridCol w:w="1710"/>
        <w:gridCol w:w="1800"/>
        <w:gridCol w:w="672"/>
      </w:tblGrid>
      <w:tr w:rsidR="00ED4C45" w:rsidRPr="000811B5" w14:paraId="2B130CA6" w14:textId="77777777" w:rsidTr="007F3687">
        <w:trPr>
          <w:trHeight w:val="300"/>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97ACD" w14:textId="77777777" w:rsidR="00ED4C45" w:rsidRPr="000811B5" w:rsidRDefault="00ED4C45" w:rsidP="007F3687">
            <w:pPr>
              <w:jc w:val="center"/>
              <w:rPr>
                <w:b/>
                <w:bCs/>
                <w:color w:val="000000"/>
                <w:sz w:val="20"/>
                <w:szCs w:val="20"/>
              </w:rPr>
            </w:pPr>
            <w:r w:rsidRPr="000811B5">
              <w:rPr>
                <w:b/>
                <w:bCs/>
                <w:color w:val="000000"/>
                <w:sz w:val="20"/>
                <w:szCs w:val="20"/>
              </w:rPr>
              <w:t>Characteristics</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4228D0E8" w14:textId="77777777" w:rsidR="00ED4C45" w:rsidRPr="000811B5" w:rsidRDefault="00ED4C45" w:rsidP="007F3687">
            <w:pPr>
              <w:jc w:val="center"/>
              <w:rPr>
                <w:b/>
                <w:bCs/>
                <w:color w:val="000000"/>
                <w:sz w:val="20"/>
                <w:szCs w:val="20"/>
              </w:rPr>
            </w:pPr>
            <w:r w:rsidRPr="000811B5">
              <w:rPr>
                <w:b/>
                <w:bCs/>
                <w:color w:val="000000"/>
                <w:sz w:val="20"/>
                <w:szCs w:val="20"/>
              </w:rPr>
              <w:t>NPO</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32E3243B" w14:textId="77777777" w:rsidR="00ED4C45" w:rsidRPr="000811B5" w:rsidRDefault="00ED4C45" w:rsidP="007F3687">
            <w:pPr>
              <w:jc w:val="center"/>
              <w:rPr>
                <w:b/>
                <w:bCs/>
                <w:color w:val="000000"/>
                <w:sz w:val="20"/>
                <w:szCs w:val="20"/>
              </w:rPr>
            </w:pPr>
            <w:r w:rsidRPr="000811B5">
              <w:rPr>
                <w:b/>
                <w:bCs/>
                <w:color w:val="000000"/>
                <w:sz w:val="20"/>
                <w:szCs w:val="20"/>
              </w:rPr>
              <w:t>PO</w:t>
            </w:r>
          </w:p>
        </w:tc>
        <w:tc>
          <w:tcPr>
            <w:tcW w:w="270" w:type="dxa"/>
            <w:tcBorders>
              <w:top w:val="single" w:sz="4" w:space="0" w:color="auto"/>
              <w:left w:val="nil"/>
              <w:bottom w:val="single" w:sz="4" w:space="0" w:color="auto"/>
              <w:right w:val="single" w:sz="4" w:space="0" w:color="auto"/>
            </w:tcBorders>
            <w:shd w:val="clear" w:color="auto" w:fill="auto"/>
            <w:noWrap/>
            <w:vAlign w:val="center"/>
            <w:hideMark/>
          </w:tcPr>
          <w:p w14:paraId="4EF1BE01" w14:textId="77777777" w:rsidR="00ED4C45" w:rsidRPr="000811B5" w:rsidRDefault="00ED4C45" w:rsidP="007F3687">
            <w:pPr>
              <w:jc w:val="center"/>
              <w:rPr>
                <w:b/>
                <w:bCs/>
                <w:color w:val="000000"/>
                <w:sz w:val="20"/>
                <w:szCs w:val="20"/>
              </w:rPr>
            </w:pPr>
            <w:r w:rsidRPr="000811B5">
              <w:rPr>
                <w:b/>
                <w:bCs/>
                <w:color w:val="000000"/>
                <w:sz w:val="20"/>
                <w:szCs w:val="20"/>
              </w:rPr>
              <w:t>p-value</w:t>
            </w:r>
          </w:p>
        </w:tc>
      </w:tr>
      <w:tr w:rsidR="00ED4C45" w:rsidRPr="000811B5" w14:paraId="74395D19" w14:textId="77777777" w:rsidTr="007F3687">
        <w:trPr>
          <w:trHeight w:val="300"/>
          <w:jc w:val="center"/>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14D8FF72" w14:textId="77777777" w:rsidR="00ED4C45" w:rsidRPr="000811B5" w:rsidRDefault="00ED4C45" w:rsidP="007F3687">
            <w:pPr>
              <w:jc w:val="center"/>
              <w:rPr>
                <w:color w:val="000000"/>
                <w:sz w:val="20"/>
                <w:szCs w:val="20"/>
              </w:rPr>
            </w:pPr>
            <w:r w:rsidRPr="000811B5">
              <w:rPr>
                <w:color w:val="000000"/>
                <w:sz w:val="20"/>
                <w:szCs w:val="20"/>
              </w:rPr>
              <w:t>Total patients, n (%)</w:t>
            </w:r>
          </w:p>
        </w:tc>
        <w:tc>
          <w:tcPr>
            <w:tcW w:w="1710" w:type="dxa"/>
            <w:tcBorders>
              <w:top w:val="nil"/>
              <w:left w:val="nil"/>
              <w:bottom w:val="single" w:sz="4" w:space="0" w:color="auto"/>
              <w:right w:val="single" w:sz="4" w:space="0" w:color="auto"/>
            </w:tcBorders>
            <w:shd w:val="clear" w:color="auto" w:fill="auto"/>
            <w:noWrap/>
            <w:vAlign w:val="center"/>
            <w:hideMark/>
          </w:tcPr>
          <w:p w14:paraId="63CC624C" w14:textId="77777777" w:rsidR="00ED4C45" w:rsidRPr="000811B5" w:rsidRDefault="00ED4C45" w:rsidP="007F3687">
            <w:pPr>
              <w:jc w:val="center"/>
              <w:rPr>
                <w:color w:val="000000"/>
                <w:sz w:val="20"/>
                <w:szCs w:val="20"/>
              </w:rPr>
            </w:pPr>
            <w:r w:rsidRPr="000811B5">
              <w:rPr>
                <w:color w:val="000000"/>
                <w:sz w:val="20"/>
                <w:szCs w:val="20"/>
              </w:rPr>
              <w:t>18 (46.2)</w:t>
            </w:r>
          </w:p>
        </w:tc>
        <w:tc>
          <w:tcPr>
            <w:tcW w:w="1800" w:type="dxa"/>
            <w:tcBorders>
              <w:top w:val="nil"/>
              <w:left w:val="nil"/>
              <w:bottom w:val="single" w:sz="4" w:space="0" w:color="auto"/>
              <w:right w:val="single" w:sz="4" w:space="0" w:color="auto"/>
            </w:tcBorders>
            <w:shd w:val="clear" w:color="auto" w:fill="auto"/>
            <w:noWrap/>
            <w:vAlign w:val="center"/>
            <w:hideMark/>
          </w:tcPr>
          <w:p w14:paraId="32E3EC0E" w14:textId="77777777" w:rsidR="00ED4C45" w:rsidRPr="000811B5" w:rsidRDefault="00ED4C45" w:rsidP="007F3687">
            <w:pPr>
              <w:jc w:val="center"/>
              <w:rPr>
                <w:color w:val="000000"/>
                <w:sz w:val="20"/>
                <w:szCs w:val="20"/>
              </w:rPr>
            </w:pPr>
            <w:r w:rsidRPr="000811B5">
              <w:rPr>
                <w:color w:val="000000"/>
                <w:sz w:val="20"/>
                <w:szCs w:val="20"/>
              </w:rPr>
              <w:t>21 (53.8)</w:t>
            </w:r>
          </w:p>
        </w:tc>
        <w:tc>
          <w:tcPr>
            <w:tcW w:w="270" w:type="dxa"/>
            <w:tcBorders>
              <w:top w:val="nil"/>
              <w:left w:val="nil"/>
              <w:bottom w:val="single" w:sz="4" w:space="0" w:color="auto"/>
              <w:right w:val="single" w:sz="4" w:space="0" w:color="auto"/>
            </w:tcBorders>
            <w:shd w:val="clear" w:color="auto" w:fill="auto"/>
            <w:noWrap/>
            <w:vAlign w:val="center"/>
            <w:hideMark/>
          </w:tcPr>
          <w:p w14:paraId="6CE3A4E2" w14:textId="77777777" w:rsidR="00ED4C45" w:rsidRPr="000811B5" w:rsidRDefault="00ED4C45" w:rsidP="007F3687">
            <w:pPr>
              <w:jc w:val="center"/>
              <w:rPr>
                <w:color w:val="000000"/>
                <w:sz w:val="20"/>
                <w:szCs w:val="20"/>
              </w:rPr>
            </w:pPr>
            <w:r w:rsidRPr="000811B5">
              <w:rPr>
                <w:color w:val="000000"/>
                <w:sz w:val="20"/>
                <w:szCs w:val="20"/>
              </w:rPr>
              <w:t> </w:t>
            </w:r>
          </w:p>
        </w:tc>
      </w:tr>
      <w:tr w:rsidR="00ED4C45" w:rsidRPr="000811B5" w14:paraId="1FC068E6" w14:textId="77777777" w:rsidTr="007F3687">
        <w:trPr>
          <w:trHeight w:val="300"/>
          <w:jc w:val="center"/>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57B5709B" w14:textId="77777777" w:rsidR="00ED4C45" w:rsidRPr="000811B5" w:rsidRDefault="00ED4C45" w:rsidP="007F3687">
            <w:pPr>
              <w:jc w:val="center"/>
              <w:rPr>
                <w:color w:val="000000"/>
                <w:sz w:val="20"/>
                <w:szCs w:val="20"/>
              </w:rPr>
            </w:pPr>
            <w:r w:rsidRPr="000811B5">
              <w:rPr>
                <w:color w:val="000000"/>
                <w:sz w:val="20"/>
                <w:szCs w:val="20"/>
              </w:rPr>
              <w:t>Age, median (IQR)</w:t>
            </w:r>
          </w:p>
        </w:tc>
        <w:tc>
          <w:tcPr>
            <w:tcW w:w="1710" w:type="dxa"/>
            <w:tcBorders>
              <w:top w:val="nil"/>
              <w:left w:val="nil"/>
              <w:bottom w:val="single" w:sz="4" w:space="0" w:color="auto"/>
              <w:right w:val="single" w:sz="4" w:space="0" w:color="auto"/>
            </w:tcBorders>
            <w:shd w:val="clear" w:color="auto" w:fill="auto"/>
            <w:noWrap/>
            <w:vAlign w:val="center"/>
            <w:hideMark/>
          </w:tcPr>
          <w:p w14:paraId="66ADD322" w14:textId="77777777" w:rsidR="00ED4C45" w:rsidRPr="000811B5" w:rsidRDefault="00ED4C45" w:rsidP="007F3687">
            <w:pPr>
              <w:jc w:val="center"/>
              <w:rPr>
                <w:color w:val="000000"/>
                <w:sz w:val="20"/>
                <w:szCs w:val="20"/>
              </w:rPr>
            </w:pPr>
            <w:r w:rsidRPr="000811B5">
              <w:rPr>
                <w:color w:val="000000"/>
                <w:sz w:val="20"/>
                <w:szCs w:val="20"/>
              </w:rPr>
              <w:t>74.0 (67.0 - 83.0)</w:t>
            </w:r>
          </w:p>
        </w:tc>
        <w:tc>
          <w:tcPr>
            <w:tcW w:w="1800" w:type="dxa"/>
            <w:tcBorders>
              <w:top w:val="nil"/>
              <w:left w:val="nil"/>
              <w:bottom w:val="single" w:sz="4" w:space="0" w:color="auto"/>
              <w:right w:val="single" w:sz="4" w:space="0" w:color="auto"/>
            </w:tcBorders>
            <w:shd w:val="clear" w:color="auto" w:fill="auto"/>
            <w:noWrap/>
            <w:vAlign w:val="center"/>
            <w:hideMark/>
          </w:tcPr>
          <w:p w14:paraId="35899D9D" w14:textId="77777777" w:rsidR="00ED4C45" w:rsidRPr="000811B5" w:rsidRDefault="00ED4C45" w:rsidP="007F3687">
            <w:pPr>
              <w:jc w:val="center"/>
              <w:rPr>
                <w:color w:val="000000"/>
                <w:sz w:val="20"/>
                <w:szCs w:val="20"/>
              </w:rPr>
            </w:pPr>
            <w:r w:rsidRPr="000811B5">
              <w:rPr>
                <w:color w:val="000000"/>
                <w:sz w:val="20"/>
                <w:szCs w:val="20"/>
              </w:rPr>
              <w:t>66.0 (61.0 - 79.0)</w:t>
            </w:r>
          </w:p>
        </w:tc>
        <w:tc>
          <w:tcPr>
            <w:tcW w:w="270" w:type="dxa"/>
            <w:tcBorders>
              <w:top w:val="nil"/>
              <w:left w:val="nil"/>
              <w:bottom w:val="single" w:sz="4" w:space="0" w:color="auto"/>
              <w:right w:val="single" w:sz="4" w:space="0" w:color="auto"/>
            </w:tcBorders>
            <w:shd w:val="clear" w:color="auto" w:fill="auto"/>
            <w:noWrap/>
            <w:vAlign w:val="center"/>
            <w:hideMark/>
          </w:tcPr>
          <w:p w14:paraId="7B7056D7" w14:textId="77777777" w:rsidR="00ED4C45" w:rsidRPr="000811B5" w:rsidRDefault="00ED4C45" w:rsidP="007F3687">
            <w:pPr>
              <w:jc w:val="center"/>
              <w:rPr>
                <w:color w:val="000000"/>
                <w:sz w:val="20"/>
                <w:szCs w:val="20"/>
              </w:rPr>
            </w:pPr>
            <w:r w:rsidRPr="000811B5">
              <w:rPr>
                <w:color w:val="000000"/>
                <w:sz w:val="20"/>
                <w:szCs w:val="20"/>
              </w:rPr>
              <w:t>0.382</w:t>
            </w:r>
          </w:p>
        </w:tc>
      </w:tr>
      <w:tr w:rsidR="00ED4C45" w:rsidRPr="000811B5" w14:paraId="729CB7E3" w14:textId="77777777" w:rsidTr="007F3687">
        <w:trPr>
          <w:trHeight w:val="300"/>
          <w:jc w:val="center"/>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3384FD85" w14:textId="77777777" w:rsidR="00ED4C45" w:rsidRPr="000811B5" w:rsidRDefault="00ED4C45" w:rsidP="007F3687">
            <w:pPr>
              <w:jc w:val="center"/>
              <w:rPr>
                <w:color w:val="000000"/>
                <w:sz w:val="20"/>
                <w:szCs w:val="20"/>
              </w:rPr>
            </w:pPr>
            <w:r w:rsidRPr="000811B5">
              <w:rPr>
                <w:color w:val="000000"/>
                <w:sz w:val="20"/>
                <w:szCs w:val="20"/>
              </w:rPr>
              <w:t>Intubated, n (%)</w:t>
            </w:r>
          </w:p>
        </w:tc>
        <w:tc>
          <w:tcPr>
            <w:tcW w:w="1710" w:type="dxa"/>
            <w:tcBorders>
              <w:top w:val="nil"/>
              <w:left w:val="nil"/>
              <w:bottom w:val="single" w:sz="4" w:space="0" w:color="auto"/>
              <w:right w:val="single" w:sz="4" w:space="0" w:color="auto"/>
            </w:tcBorders>
            <w:shd w:val="clear" w:color="auto" w:fill="auto"/>
            <w:noWrap/>
            <w:vAlign w:val="center"/>
            <w:hideMark/>
          </w:tcPr>
          <w:p w14:paraId="0FFEB97A" w14:textId="77777777" w:rsidR="00ED4C45" w:rsidRPr="000811B5" w:rsidRDefault="00ED4C45" w:rsidP="007F3687">
            <w:pPr>
              <w:jc w:val="center"/>
              <w:rPr>
                <w:color w:val="000000"/>
                <w:sz w:val="20"/>
                <w:szCs w:val="20"/>
              </w:rPr>
            </w:pPr>
            <w:r w:rsidRPr="000811B5">
              <w:rPr>
                <w:color w:val="000000"/>
                <w:sz w:val="20"/>
                <w:szCs w:val="20"/>
              </w:rPr>
              <w:t>12 (52.2)</w:t>
            </w:r>
          </w:p>
        </w:tc>
        <w:tc>
          <w:tcPr>
            <w:tcW w:w="1800" w:type="dxa"/>
            <w:tcBorders>
              <w:top w:val="nil"/>
              <w:left w:val="nil"/>
              <w:bottom w:val="single" w:sz="4" w:space="0" w:color="auto"/>
              <w:right w:val="single" w:sz="4" w:space="0" w:color="auto"/>
            </w:tcBorders>
            <w:shd w:val="clear" w:color="auto" w:fill="auto"/>
            <w:noWrap/>
            <w:vAlign w:val="center"/>
            <w:hideMark/>
          </w:tcPr>
          <w:p w14:paraId="3A1E2ED9" w14:textId="77777777" w:rsidR="00ED4C45" w:rsidRPr="000811B5" w:rsidRDefault="00ED4C45" w:rsidP="007F3687">
            <w:pPr>
              <w:jc w:val="center"/>
              <w:rPr>
                <w:color w:val="000000"/>
                <w:sz w:val="20"/>
                <w:szCs w:val="20"/>
              </w:rPr>
            </w:pPr>
            <w:r w:rsidRPr="000811B5">
              <w:rPr>
                <w:color w:val="000000"/>
                <w:sz w:val="20"/>
                <w:szCs w:val="20"/>
              </w:rPr>
              <w:t>11 (47.8)</w:t>
            </w:r>
          </w:p>
        </w:tc>
        <w:tc>
          <w:tcPr>
            <w:tcW w:w="270" w:type="dxa"/>
            <w:tcBorders>
              <w:top w:val="nil"/>
              <w:left w:val="nil"/>
              <w:bottom w:val="single" w:sz="4" w:space="0" w:color="auto"/>
              <w:right w:val="single" w:sz="4" w:space="0" w:color="auto"/>
            </w:tcBorders>
            <w:shd w:val="clear" w:color="auto" w:fill="auto"/>
            <w:noWrap/>
            <w:vAlign w:val="center"/>
            <w:hideMark/>
          </w:tcPr>
          <w:p w14:paraId="32F81725" w14:textId="77777777" w:rsidR="00ED4C45" w:rsidRPr="000811B5" w:rsidRDefault="00ED4C45" w:rsidP="007F3687">
            <w:pPr>
              <w:jc w:val="center"/>
              <w:rPr>
                <w:color w:val="000000"/>
                <w:sz w:val="20"/>
                <w:szCs w:val="20"/>
              </w:rPr>
            </w:pPr>
            <w:r w:rsidRPr="000811B5">
              <w:rPr>
                <w:color w:val="000000"/>
                <w:sz w:val="20"/>
                <w:szCs w:val="20"/>
              </w:rPr>
              <w:t>0.366</w:t>
            </w:r>
          </w:p>
        </w:tc>
      </w:tr>
      <w:tr w:rsidR="00ED4C45" w:rsidRPr="000811B5" w14:paraId="6A336ECE" w14:textId="77777777" w:rsidTr="007F3687">
        <w:trPr>
          <w:trHeight w:val="300"/>
          <w:jc w:val="center"/>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01476A51" w14:textId="752B0CDB" w:rsidR="00ED4C45" w:rsidRPr="000811B5" w:rsidRDefault="00ED4C45" w:rsidP="007F3687">
            <w:pPr>
              <w:jc w:val="center"/>
              <w:rPr>
                <w:color w:val="000000"/>
                <w:sz w:val="20"/>
                <w:szCs w:val="20"/>
              </w:rPr>
            </w:pPr>
            <w:r w:rsidRPr="000811B5">
              <w:rPr>
                <w:color w:val="000000"/>
                <w:sz w:val="20"/>
                <w:szCs w:val="20"/>
              </w:rPr>
              <w:t>Not-intubated, n</w:t>
            </w:r>
            <w:r w:rsidR="00741719">
              <w:rPr>
                <w:color w:val="000000"/>
                <w:sz w:val="20"/>
                <w:szCs w:val="20"/>
              </w:rPr>
              <w:t xml:space="preserve"> </w:t>
            </w:r>
            <w:r w:rsidRPr="000811B5">
              <w:rPr>
                <w:color w:val="000000"/>
                <w:sz w:val="20"/>
                <w:szCs w:val="20"/>
              </w:rPr>
              <w:t>(%)</w:t>
            </w:r>
          </w:p>
        </w:tc>
        <w:tc>
          <w:tcPr>
            <w:tcW w:w="1710" w:type="dxa"/>
            <w:tcBorders>
              <w:top w:val="nil"/>
              <w:left w:val="nil"/>
              <w:bottom w:val="single" w:sz="4" w:space="0" w:color="auto"/>
              <w:right w:val="single" w:sz="4" w:space="0" w:color="auto"/>
            </w:tcBorders>
            <w:shd w:val="clear" w:color="auto" w:fill="auto"/>
            <w:noWrap/>
            <w:vAlign w:val="center"/>
            <w:hideMark/>
          </w:tcPr>
          <w:p w14:paraId="2BC659CD" w14:textId="77777777" w:rsidR="00ED4C45" w:rsidRPr="000811B5" w:rsidRDefault="00ED4C45" w:rsidP="007F3687">
            <w:pPr>
              <w:jc w:val="center"/>
              <w:rPr>
                <w:color w:val="000000"/>
                <w:sz w:val="20"/>
                <w:szCs w:val="20"/>
              </w:rPr>
            </w:pPr>
            <w:r w:rsidRPr="000811B5">
              <w:rPr>
                <w:color w:val="000000"/>
                <w:sz w:val="20"/>
                <w:szCs w:val="20"/>
              </w:rPr>
              <w:t>6 (37.5)</w:t>
            </w:r>
          </w:p>
        </w:tc>
        <w:tc>
          <w:tcPr>
            <w:tcW w:w="1800" w:type="dxa"/>
            <w:tcBorders>
              <w:top w:val="nil"/>
              <w:left w:val="nil"/>
              <w:bottom w:val="single" w:sz="4" w:space="0" w:color="auto"/>
              <w:right w:val="single" w:sz="4" w:space="0" w:color="auto"/>
            </w:tcBorders>
            <w:shd w:val="clear" w:color="auto" w:fill="auto"/>
            <w:noWrap/>
            <w:vAlign w:val="center"/>
            <w:hideMark/>
          </w:tcPr>
          <w:p w14:paraId="736FE609" w14:textId="77777777" w:rsidR="00ED4C45" w:rsidRPr="000811B5" w:rsidRDefault="00ED4C45" w:rsidP="007F3687">
            <w:pPr>
              <w:jc w:val="center"/>
              <w:rPr>
                <w:color w:val="000000"/>
                <w:sz w:val="20"/>
                <w:szCs w:val="20"/>
              </w:rPr>
            </w:pPr>
            <w:r w:rsidRPr="000811B5">
              <w:rPr>
                <w:color w:val="000000"/>
                <w:sz w:val="20"/>
                <w:szCs w:val="20"/>
              </w:rPr>
              <w:t>10 (62.5)</w:t>
            </w:r>
          </w:p>
        </w:tc>
        <w:tc>
          <w:tcPr>
            <w:tcW w:w="270" w:type="dxa"/>
            <w:tcBorders>
              <w:top w:val="nil"/>
              <w:left w:val="nil"/>
              <w:bottom w:val="single" w:sz="4" w:space="0" w:color="auto"/>
              <w:right w:val="single" w:sz="4" w:space="0" w:color="auto"/>
            </w:tcBorders>
            <w:shd w:val="clear" w:color="auto" w:fill="auto"/>
            <w:noWrap/>
            <w:vAlign w:val="center"/>
            <w:hideMark/>
          </w:tcPr>
          <w:p w14:paraId="26D8E770" w14:textId="77777777" w:rsidR="00ED4C45" w:rsidRPr="000811B5" w:rsidRDefault="00ED4C45" w:rsidP="007F3687">
            <w:pPr>
              <w:jc w:val="center"/>
              <w:rPr>
                <w:color w:val="000000"/>
                <w:sz w:val="20"/>
                <w:szCs w:val="20"/>
              </w:rPr>
            </w:pPr>
            <w:r w:rsidRPr="000811B5">
              <w:rPr>
                <w:color w:val="000000"/>
                <w:sz w:val="20"/>
                <w:szCs w:val="20"/>
              </w:rPr>
              <w:t> </w:t>
            </w:r>
          </w:p>
        </w:tc>
      </w:tr>
      <w:tr w:rsidR="00ED4C45" w:rsidRPr="000811B5" w14:paraId="0FFFF759" w14:textId="77777777" w:rsidTr="007F3687">
        <w:trPr>
          <w:trHeight w:val="300"/>
          <w:jc w:val="center"/>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522EBABD" w14:textId="77777777" w:rsidR="00ED4C45" w:rsidRPr="000811B5" w:rsidRDefault="00ED4C45" w:rsidP="007F3687">
            <w:pPr>
              <w:jc w:val="center"/>
              <w:rPr>
                <w:color w:val="000000"/>
                <w:sz w:val="20"/>
                <w:szCs w:val="20"/>
              </w:rPr>
            </w:pPr>
            <w:r w:rsidRPr="000811B5">
              <w:rPr>
                <w:color w:val="000000"/>
                <w:sz w:val="20"/>
                <w:szCs w:val="20"/>
              </w:rPr>
              <w:t>Duration of intubation, median (IQR)</w:t>
            </w:r>
          </w:p>
        </w:tc>
        <w:tc>
          <w:tcPr>
            <w:tcW w:w="1710" w:type="dxa"/>
            <w:tcBorders>
              <w:top w:val="nil"/>
              <w:left w:val="nil"/>
              <w:bottom w:val="single" w:sz="4" w:space="0" w:color="auto"/>
              <w:right w:val="single" w:sz="4" w:space="0" w:color="auto"/>
            </w:tcBorders>
            <w:shd w:val="clear" w:color="auto" w:fill="auto"/>
            <w:noWrap/>
            <w:vAlign w:val="center"/>
            <w:hideMark/>
          </w:tcPr>
          <w:p w14:paraId="65BEBFB2" w14:textId="77777777" w:rsidR="00ED4C45" w:rsidRPr="000811B5" w:rsidRDefault="00ED4C45" w:rsidP="007F3687">
            <w:pPr>
              <w:jc w:val="center"/>
              <w:rPr>
                <w:color w:val="000000"/>
                <w:sz w:val="20"/>
                <w:szCs w:val="20"/>
              </w:rPr>
            </w:pPr>
            <w:r w:rsidRPr="000811B5">
              <w:rPr>
                <w:color w:val="000000"/>
                <w:sz w:val="20"/>
                <w:szCs w:val="20"/>
              </w:rPr>
              <w:t xml:space="preserve">14.5 (5.0 - 18.0) </w:t>
            </w:r>
          </w:p>
        </w:tc>
        <w:tc>
          <w:tcPr>
            <w:tcW w:w="1800" w:type="dxa"/>
            <w:tcBorders>
              <w:top w:val="nil"/>
              <w:left w:val="nil"/>
              <w:bottom w:val="single" w:sz="4" w:space="0" w:color="auto"/>
              <w:right w:val="single" w:sz="4" w:space="0" w:color="auto"/>
            </w:tcBorders>
            <w:shd w:val="clear" w:color="auto" w:fill="auto"/>
            <w:noWrap/>
            <w:vAlign w:val="center"/>
            <w:hideMark/>
          </w:tcPr>
          <w:p w14:paraId="61CD041A" w14:textId="77777777" w:rsidR="00ED4C45" w:rsidRPr="000811B5" w:rsidRDefault="00ED4C45" w:rsidP="007F3687">
            <w:pPr>
              <w:jc w:val="center"/>
              <w:rPr>
                <w:color w:val="000000"/>
                <w:sz w:val="20"/>
                <w:szCs w:val="20"/>
              </w:rPr>
            </w:pPr>
            <w:r w:rsidRPr="000811B5">
              <w:rPr>
                <w:color w:val="000000"/>
                <w:sz w:val="20"/>
                <w:szCs w:val="20"/>
              </w:rPr>
              <w:t>11.0 (3.0 - 14.0)</w:t>
            </w:r>
          </w:p>
        </w:tc>
        <w:tc>
          <w:tcPr>
            <w:tcW w:w="270" w:type="dxa"/>
            <w:tcBorders>
              <w:top w:val="nil"/>
              <w:left w:val="nil"/>
              <w:bottom w:val="single" w:sz="4" w:space="0" w:color="auto"/>
              <w:right w:val="single" w:sz="4" w:space="0" w:color="auto"/>
            </w:tcBorders>
            <w:shd w:val="clear" w:color="auto" w:fill="auto"/>
            <w:noWrap/>
            <w:vAlign w:val="center"/>
            <w:hideMark/>
          </w:tcPr>
          <w:p w14:paraId="11233DA1" w14:textId="77777777" w:rsidR="00ED4C45" w:rsidRPr="000811B5" w:rsidRDefault="00ED4C45" w:rsidP="007F3687">
            <w:pPr>
              <w:jc w:val="center"/>
              <w:rPr>
                <w:color w:val="000000"/>
                <w:sz w:val="20"/>
                <w:szCs w:val="20"/>
              </w:rPr>
            </w:pPr>
            <w:r w:rsidRPr="000811B5">
              <w:rPr>
                <w:color w:val="000000"/>
                <w:sz w:val="20"/>
                <w:szCs w:val="20"/>
              </w:rPr>
              <w:t>0.309</w:t>
            </w:r>
          </w:p>
        </w:tc>
      </w:tr>
    </w:tbl>
    <w:p w14:paraId="69C0CB19" w14:textId="77777777" w:rsidR="00ED4C45" w:rsidRDefault="00ED4C45" w:rsidP="00ED4C45">
      <w:pPr>
        <w:contextualSpacing/>
        <w:mirrorIndents/>
        <w:jc w:val="both"/>
        <w:rPr>
          <w:sz w:val="20"/>
          <w:szCs w:val="20"/>
        </w:rPr>
      </w:pPr>
    </w:p>
    <w:p w14:paraId="243C8002" w14:textId="77777777" w:rsidR="00ED4C45" w:rsidRDefault="00ED4C45" w:rsidP="00ED4C45">
      <w:pPr>
        <w:contextualSpacing/>
        <w:mirrorIndents/>
        <w:jc w:val="center"/>
        <w:rPr>
          <w:sz w:val="20"/>
          <w:szCs w:val="20"/>
        </w:rPr>
      </w:pPr>
      <w:r w:rsidRPr="001E3B96">
        <w:rPr>
          <w:b/>
          <w:sz w:val="20"/>
          <w:szCs w:val="20"/>
        </w:rPr>
        <w:t>Table 2:</w:t>
      </w:r>
      <w:r w:rsidRPr="00C94FBF">
        <w:rPr>
          <w:sz w:val="20"/>
          <w:szCs w:val="20"/>
        </w:rPr>
        <w:t xml:space="preserve"> Patients characteristics for diet recommendations</w:t>
      </w:r>
      <w:r>
        <w:rPr>
          <w:sz w:val="20"/>
          <w:szCs w:val="20"/>
        </w:rPr>
        <w:t>.</w:t>
      </w:r>
    </w:p>
    <w:p w14:paraId="4007A538" w14:textId="77777777" w:rsidR="00ED4C45" w:rsidRPr="0020208F" w:rsidRDefault="00ED4C45" w:rsidP="00ED4C45">
      <w:pPr>
        <w:contextualSpacing/>
        <w:mirrorIndents/>
        <w:jc w:val="both"/>
        <w:rPr>
          <w:sz w:val="20"/>
          <w:szCs w:val="20"/>
        </w:rPr>
      </w:pPr>
    </w:p>
    <w:p w14:paraId="005A1CAE" w14:textId="77777777" w:rsidR="00ED4C45" w:rsidRDefault="00ED4C45" w:rsidP="00ED4C45">
      <w:pPr>
        <w:contextualSpacing/>
        <w:mirrorIndents/>
        <w:jc w:val="both"/>
        <w:rPr>
          <w:sz w:val="20"/>
          <w:szCs w:val="20"/>
        </w:rPr>
      </w:pPr>
      <w:r w:rsidRPr="0020208F">
        <w:rPr>
          <w:sz w:val="20"/>
          <w:szCs w:val="20"/>
        </w:rPr>
        <w:t xml:space="preserve">The intubated patients with dysphagia had a median duration of intubation of 12 days (IQR 5-16). The median duration of intubation was higher for patients recommended to be NPO (median 14.5, IQR 5-18) as compared to patients placed on a PO diet (median 11, IQR 3-14) </w:t>
      </w:r>
      <w:r w:rsidRPr="00F45F0B">
        <w:rPr>
          <w:color w:val="FF0000"/>
          <w:sz w:val="20"/>
          <w:szCs w:val="20"/>
        </w:rPr>
        <w:t>(Figure 1)</w:t>
      </w:r>
      <w:r w:rsidRPr="0020208F">
        <w:rPr>
          <w:sz w:val="20"/>
          <w:szCs w:val="20"/>
        </w:rPr>
        <w:t xml:space="preserve">. We failed to observe statistical significance. We also observed smaller duration of intubation for recommended diet category ‘Thin’ and ‘Thick’ than that of patients with NPO. Observed median duration of intubation for patients with recommended diet ‘Thick’ was 11 days (IQR 9-14) and for patients with recommended diet ‘Thin’ was 7 days (IQR 1.5-14.5), which indicates that there can be positive association between duration of intubation and the severity of patients’ condition for dysphagia. For the difference in duration of intubation among patients with NPO, with ‘Thick’ and with ‘Thin’ diet recommendations, we failed to observe statistical significance (p&lt;0.523). </w:t>
      </w:r>
    </w:p>
    <w:p w14:paraId="1C0AEFB1" w14:textId="77777777" w:rsidR="00ED4C45" w:rsidRDefault="00ED4C45" w:rsidP="00ED4C45">
      <w:pPr>
        <w:contextualSpacing/>
        <w:mirrorIndents/>
        <w:jc w:val="both"/>
        <w:rPr>
          <w:sz w:val="20"/>
          <w:szCs w:val="20"/>
        </w:rPr>
      </w:pPr>
    </w:p>
    <w:p w14:paraId="6A9A20C8" w14:textId="77777777" w:rsidR="00ED4C45" w:rsidRDefault="00ED4C45" w:rsidP="00ED4C45">
      <w:pPr>
        <w:contextualSpacing/>
        <w:mirrorIndents/>
        <w:jc w:val="center"/>
        <w:rPr>
          <w:sz w:val="20"/>
          <w:szCs w:val="20"/>
        </w:rPr>
      </w:pPr>
      <w:r w:rsidRPr="00D47445">
        <w:rPr>
          <w:noProof/>
          <w:sz w:val="20"/>
          <w:szCs w:val="20"/>
          <w:lang w:val="en-IN" w:eastAsia="en-IN"/>
        </w:rPr>
        <w:drawing>
          <wp:inline distT="0" distB="0" distL="0" distR="0" wp14:anchorId="034BBAA0" wp14:editId="4BA70470">
            <wp:extent cx="2987040" cy="1841219"/>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4654" cy="1852076"/>
                    </a:xfrm>
                    <a:prstGeom prst="rect">
                      <a:avLst/>
                    </a:prstGeom>
                    <a:noFill/>
                    <a:ln>
                      <a:noFill/>
                    </a:ln>
                  </pic:spPr>
                </pic:pic>
              </a:graphicData>
            </a:graphic>
          </wp:inline>
        </w:drawing>
      </w:r>
    </w:p>
    <w:p w14:paraId="35E88BD2" w14:textId="77777777" w:rsidR="00ED4C45" w:rsidRDefault="00ED4C45" w:rsidP="00ED4C45">
      <w:pPr>
        <w:contextualSpacing/>
        <w:mirrorIndents/>
        <w:jc w:val="both"/>
        <w:rPr>
          <w:sz w:val="20"/>
          <w:szCs w:val="20"/>
        </w:rPr>
      </w:pPr>
    </w:p>
    <w:p w14:paraId="3548D819" w14:textId="77777777" w:rsidR="00ED4C45" w:rsidRDefault="00ED4C45" w:rsidP="00ED4C45">
      <w:pPr>
        <w:contextualSpacing/>
        <w:mirrorIndents/>
        <w:jc w:val="center"/>
        <w:rPr>
          <w:sz w:val="20"/>
          <w:szCs w:val="20"/>
        </w:rPr>
      </w:pPr>
      <w:r w:rsidRPr="00A067AB">
        <w:rPr>
          <w:b/>
          <w:sz w:val="20"/>
          <w:szCs w:val="20"/>
        </w:rPr>
        <w:t>Figure 1:</w:t>
      </w:r>
      <w:r w:rsidRPr="00C332ED">
        <w:rPr>
          <w:sz w:val="20"/>
          <w:szCs w:val="20"/>
        </w:rPr>
        <w:t xml:space="preserve"> Box plot for intubation days by NPO or PO diet recommendation.</w:t>
      </w:r>
    </w:p>
    <w:p w14:paraId="469704A2" w14:textId="77777777" w:rsidR="00ED4C45" w:rsidRPr="0020208F" w:rsidRDefault="00ED4C45" w:rsidP="00ED4C45">
      <w:pPr>
        <w:contextualSpacing/>
        <w:mirrorIndents/>
        <w:jc w:val="both"/>
        <w:rPr>
          <w:sz w:val="20"/>
          <w:szCs w:val="20"/>
        </w:rPr>
      </w:pPr>
    </w:p>
    <w:p w14:paraId="2A99949E" w14:textId="77777777" w:rsidR="00ED4C45" w:rsidRPr="009E6268" w:rsidRDefault="00ED4C45" w:rsidP="00ED4C45">
      <w:pPr>
        <w:contextualSpacing/>
        <w:mirrorIndents/>
        <w:jc w:val="both"/>
        <w:rPr>
          <w:b/>
          <w:sz w:val="22"/>
          <w:szCs w:val="22"/>
        </w:rPr>
      </w:pPr>
      <w:r w:rsidRPr="009E6268">
        <w:rPr>
          <w:b/>
          <w:sz w:val="22"/>
          <w:szCs w:val="22"/>
        </w:rPr>
        <w:t>Discussion</w:t>
      </w:r>
    </w:p>
    <w:p w14:paraId="60E73C1A" w14:textId="77777777" w:rsidR="00ED4C45" w:rsidRPr="0020208F" w:rsidRDefault="00ED4C45" w:rsidP="00ED4C45">
      <w:pPr>
        <w:contextualSpacing/>
        <w:mirrorIndents/>
        <w:jc w:val="both"/>
        <w:rPr>
          <w:sz w:val="20"/>
          <w:szCs w:val="20"/>
        </w:rPr>
      </w:pPr>
    </w:p>
    <w:p w14:paraId="21F98EF5" w14:textId="77777777" w:rsidR="00ED4C45" w:rsidRPr="0020208F" w:rsidRDefault="00ED4C45" w:rsidP="00ED4C45">
      <w:pPr>
        <w:contextualSpacing/>
        <w:mirrorIndents/>
        <w:jc w:val="both"/>
        <w:rPr>
          <w:sz w:val="20"/>
          <w:szCs w:val="20"/>
        </w:rPr>
      </w:pPr>
      <w:r w:rsidRPr="0020208F">
        <w:rPr>
          <w:sz w:val="20"/>
          <w:szCs w:val="20"/>
        </w:rPr>
        <w:t>The relationship between dysphagia and endotracheal intubation has been well determined, however current understanding of dysphagia secondary to COVID-19 in patients requiring intubation is limited. Further, caseload analyses revealed the presence of dysphagia in patients diagnosed with this virus in the absence of intubation. In order to gain a better understanding of the virus and in return provide best practice for the patients afflicted by the virus, the swallowing function of those individuals not requiring intubation was investigated. This retrospective study sought to investigate the characteristics associated with COVID-19 related dysphagia.</w:t>
      </w:r>
    </w:p>
    <w:p w14:paraId="7DEE1ADA" w14:textId="77777777" w:rsidR="00ED4C45" w:rsidRPr="0020208F" w:rsidRDefault="00ED4C45" w:rsidP="00ED4C45">
      <w:pPr>
        <w:contextualSpacing/>
        <w:mirrorIndents/>
        <w:jc w:val="both"/>
        <w:rPr>
          <w:sz w:val="20"/>
          <w:szCs w:val="20"/>
        </w:rPr>
      </w:pPr>
    </w:p>
    <w:p w14:paraId="328912D5" w14:textId="77777777" w:rsidR="00ED4C45" w:rsidRPr="0020208F" w:rsidRDefault="00ED4C45" w:rsidP="00ED4C45">
      <w:pPr>
        <w:contextualSpacing/>
        <w:mirrorIndents/>
        <w:jc w:val="both"/>
        <w:rPr>
          <w:sz w:val="20"/>
          <w:szCs w:val="20"/>
        </w:rPr>
      </w:pPr>
      <w:r w:rsidRPr="0020208F">
        <w:rPr>
          <w:sz w:val="20"/>
          <w:szCs w:val="20"/>
        </w:rPr>
        <w:t>Endotracheal intubation was found to be a characteristic in those individuals presenting with an oral and pharyngeal dysphagia. Most individuals that required intubation presented with a dysphagia. This finding of a 97% occurrence rate for oral dysphagia and a 90% occurrence rate for pharyngeal dysphagia is higher than a prior systemic review that reported a 3% to 62% occurrence of post-</w:t>
      </w:r>
      <w:proofErr w:type="spellStart"/>
      <w:r w:rsidRPr="0020208F">
        <w:rPr>
          <w:sz w:val="20"/>
          <w:szCs w:val="20"/>
        </w:rPr>
        <w:t>extubation</w:t>
      </w:r>
      <w:proofErr w:type="spellEnd"/>
      <w:r w:rsidRPr="0020208F">
        <w:rPr>
          <w:sz w:val="20"/>
          <w:szCs w:val="20"/>
        </w:rPr>
        <w:t xml:space="preserve"> dysphagia in the critical care setting </w:t>
      </w:r>
      <w:r>
        <w:rPr>
          <w:color w:val="FF0000"/>
          <w:sz w:val="20"/>
          <w:szCs w:val="20"/>
        </w:rPr>
        <w:t>[5]</w:t>
      </w:r>
      <w:r w:rsidRPr="0020208F">
        <w:rPr>
          <w:sz w:val="20"/>
          <w:szCs w:val="20"/>
        </w:rPr>
        <w:t>. Of interest is the greater number of individuals that presented with an oral dysphagia as compared to a pharyngeal dysphagia. These results suggest that reduced labial and lingual function may have a greater impact on overall swallow than reduced pharyngeal function. Despite the greater number of dysphagia patients requiring intubation, which was overall higher compared to overall COVID-19 patients admitted during the same time period, this study found that 41% of the individuals presenting with a dysphagia were not intubation. This finding now raises the question, what then is the cause of the dysphagia in these individuals diagnosed with COVID-19.</w:t>
      </w:r>
    </w:p>
    <w:p w14:paraId="4FA4561C" w14:textId="77777777" w:rsidR="00ED4C45" w:rsidRPr="0020208F" w:rsidRDefault="00ED4C45" w:rsidP="00ED4C45">
      <w:pPr>
        <w:contextualSpacing/>
        <w:mirrorIndents/>
        <w:jc w:val="both"/>
        <w:rPr>
          <w:sz w:val="20"/>
          <w:szCs w:val="20"/>
        </w:rPr>
      </w:pPr>
    </w:p>
    <w:p w14:paraId="6E885D1D" w14:textId="77777777" w:rsidR="00ED4C45" w:rsidRPr="0020208F" w:rsidRDefault="00ED4C45" w:rsidP="00ED4C45">
      <w:pPr>
        <w:contextualSpacing/>
        <w:mirrorIndents/>
        <w:jc w:val="both"/>
        <w:rPr>
          <w:sz w:val="20"/>
          <w:szCs w:val="20"/>
        </w:rPr>
      </w:pPr>
      <w:r w:rsidRPr="0020208F">
        <w:rPr>
          <w:sz w:val="20"/>
          <w:szCs w:val="20"/>
        </w:rPr>
        <w:t>During acute hospitalization often there is a decline in overall function, referred to as hospital-associated deconditioning.</w:t>
      </w:r>
      <w:r>
        <w:rPr>
          <w:sz w:val="20"/>
          <w:szCs w:val="20"/>
        </w:rPr>
        <w:t xml:space="preserve"> </w:t>
      </w:r>
      <w:r w:rsidRPr="0020208F">
        <w:rPr>
          <w:sz w:val="20"/>
          <w:szCs w:val="20"/>
        </w:rPr>
        <w:t xml:space="preserve">This deconditioning occurs in approximately one-third of patients older than 70 years of age </w:t>
      </w:r>
      <w:r>
        <w:rPr>
          <w:color w:val="FF0000"/>
          <w:sz w:val="20"/>
          <w:szCs w:val="20"/>
        </w:rPr>
        <w:t>[23]</w:t>
      </w:r>
      <w:r w:rsidRPr="0020208F">
        <w:rPr>
          <w:sz w:val="20"/>
          <w:szCs w:val="20"/>
        </w:rPr>
        <w:t xml:space="preserve">. One possible commonality found in these patients is this deconditioning or better defined as activity related </w:t>
      </w:r>
      <w:proofErr w:type="spellStart"/>
      <w:r w:rsidRPr="0020208F">
        <w:rPr>
          <w:sz w:val="20"/>
          <w:szCs w:val="20"/>
        </w:rPr>
        <w:t>sarcopenia</w:t>
      </w:r>
      <w:proofErr w:type="spellEnd"/>
      <w:r w:rsidRPr="0020208F">
        <w:rPr>
          <w:sz w:val="20"/>
          <w:szCs w:val="20"/>
        </w:rPr>
        <w:t xml:space="preserve">. This </w:t>
      </w:r>
      <w:proofErr w:type="spellStart"/>
      <w:r w:rsidRPr="0020208F">
        <w:rPr>
          <w:sz w:val="20"/>
          <w:szCs w:val="20"/>
        </w:rPr>
        <w:t>sarcopenia</w:t>
      </w:r>
      <w:proofErr w:type="spellEnd"/>
      <w:r w:rsidRPr="0020208F">
        <w:rPr>
          <w:sz w:val="20"/>
          <w:szCs w:val="20"/>
        </w:rPr>
        <w:t xml:space="preserve"> is a result of bed rest, sedentary lifestyle, deconditioning, and zero gravity conditions </w:t>
      </w:r>
      <w:r>
        <w:rPr>
          <w:color w:val="FF0000"/>
          <w:sz w:val="20"/>
          <w:szCs w:val="20"/>
        </w:rPr>
        <w:t>[24]</w:t>
      </w:r>
      <w:r w:rsidRPr="0020208F">
        <w:rPr>
          <w:sz w:val="20"/>
          <w:szCs w:val="20"/>
        </w:rPr>
        <w:t xml:space="preserve">. </w:t>
      </w:r>
      <w:proofErr w:type="spellStart"/>
      <w:r w:rsidRPr="0020208F">
        <w:rPr>
          <w:sz w:val="20"/>
          <w:szCs w:val="20"/>
        </w:rPr>
        <w:t>Sarcopenia</w:t>
      </w:r>
      <w:proofErr w:type="spellEnd"/>
      <w:r w:rsidRPr="0020208F">
        <w:rPr>
          <w:sz w:val="20"/>
          <w:szCs w:val="20"/>
        </w:rPr>
        <w:t xml:space="preserve"> is a clinical syndrome secondary to muscle atrophy due to aging, immobilization, and malnutrition.</w:t>
      </w:r>
      <w:r>
        <w:rPr>
          <w:sz w:val="20"/>
          <w:szCs w:val="20"/>
        </w:rPr>
        <w:t xml:space="preserve"> </w:t>
      </w:r>
      <w:r w:rsidRPr="0020208F">
        <w:rPr>
          <w:sz w:val="20"/>
          <w:szCs w:val="20"/>
        </w:rPr>
        <w:t xml:space="preserve">Although it is most often seen in older adults, this condition can also develop in younger adults </w:t>
      </w:r>
      <w:r>
        <w:rPr>
          <w:color w:val="FF0000"/>
          <w:sz w:val="20"/>
          <w:szCs w:val="20"/>
        </w:rPr>
        <w:t>[25]</w:t>
      </w:r>
      <w:r w:rsidRPr="0020208F">
        <w:rPr>
          <w:sz w:val="20"/>
          <w:szCs w:val="20"/>
        </w:rPr>
        <w:t xml:space="preserve">. Future research should consider investigating </w:t>
      </w:r>
      <w:proofErr w:type="spellStart"/>
      <w:r w:rsidRPr="0020208F">
        <w:rPr>
          <w:sz w:val="20"/>
          <w:szCs w:val="20"/>
        </w:rPr>
        <w:t>sarcopenia</w:t>
      </w:r>
      <w:proofErr w:type="spellEnd"/>
      <w:r w:rsidRPr="0020208F">
        <w:rPr>
          <w:sz w:val="20"/>
          <w:szCs w:val="20"/>
        </w:rPr>
        <w:t xml:space="preserve"> as an etiology for COVID related dysphagia as compared to endotracheal intubation. </w:t>
      </w:r>
    </w:p>
    <w:p w14:paraId="006925CA" w14:textId="77777777" w:rsidR="00ED4C45" w:rsidRPr="0020208F" w:rsidRDefault="00ED4C45" w:rsidP="00ED4C45">
      <w:pPr>
        <w:contextualSpacing/>
        <w:mirrorIndents/>
        <w:jc w:val="both"/>
        <w:rPr>
          <w:sz w:val="20"/>
          <w:szCs w:val="20"/>
        </w:rPr>
      </w:pPr>
    </w:p>
    <w:p w14:paraId="5CDB5A6C" w14:textId="77777777" w:rsidR="00ED4C45" w:rsidRPr="0020208F" w:rsidRDefault="00ED4C45" w:rsidP="00ED4C45">
      <w:pPr>
        <w:contextualSpacing/>
        <w:mirrorIndents/>
        <w:jc w:val="both"/>
        <w:rPr>
          <w:color w:val="C0504D" w:themeColor="accent2"/>
          <w:sz w:val="20"/>
          <w:szCs w:val="20"/>
        </w:rPr>
      </w:pPr>
      <w:r w:rsidRPr="0020208F">
        <w:rPr>
          <w:sz w:val="20"/>
          <w:szCs w:val="20"/>
        </w:rPr>
        <w:t xml:space="preserve">Consistent with prior findings that dysphagia may occur in the elderly in the absence of illness, this study found age was a risk factor for dysphagia in those individuals diagnosed with COVID-19 sans the need for intubation. The average age was significantly higher in the non-intubated group as compared to the intubated group for both oral and pharyngeal dysphagia. The lower average age in the intubated patients of this study is in contrast with </w:t>
      </w:r>
      <w:r w:rsidRPr="00F46094">
        <w:rPr>
          <w:sz w:val="20"/>
          <w:szCs w:val="20"/>
        </w:rPr>
        <w:t xml:space="preserve">Marvin and colleagues </w:t>
      </w:r>
      <w:r>
        <w:rPr>
          <w:color w:val="FF0000"/>
          <w:sz w:val="20"/>
          <w:szCs w:val="20"/>
        </w:rPr>
        <w:t>[16]</w:t>
      </w:r>
      <w:r w:rsidRPr="0020208F">
        <w:rPr>
          <w:sz w:val="20"/>
          <w:szCs w:val="20"/>
        </w:rPr>
        <w:t xml:space="preserve"> study that found age to be a factor for aspiration and silent aspiration in those patients post-</w:t>
      </w:r>
      <w:proofErr w:type="spellStart"/>
      <w:r w:rsidRPr="0020208F">
        <w:rPr>
          <w:sz w:val="20"/>
          <w:szCs w:val="20"/>
        </w:rPr>
        <w:t>extubation</w:t>
      </w:r>
      <w:proofErr w:type="spellEnd"/>
      <w:r w:rsidRPr="0020208F">
        <w:rPr>
          <w:sz w:val="20"/>
          <w:szCs w:val="20"/>
        </w:rPr>
        <w:t xml:space="preserve">. </w:t>
      </w:r>
    </w:p>
    <w:p w14:paraId="6628C93C" w14:textId="77777777" w:rsidR="00ED4C45" w:rsidRPr="0020208F" w:rsidRDefault="00ED4C45" w:rsidP="00ED4C45">
      <w:pPr>
        <w:contextualSpacing/>
        <w:mirrorIndents/>
        <w:jc w:val="both"/>
        <w:rPr>
          <w:sz w:val="20"/>
          <w:szCs w:val="20"/>
        </w:rPr>
      </w:pPr>
      <w:r w:rsidRPr="0020208F">
        <w:rPr>
          <w:sz w:val="20"/>
          <w:szCs w:val="20"/>
        </w:rPr>
        <w:t xml:space="preserve"> </w:t>
      </w:r>
    </w:p>
    <w:p w14:paraId="45BCEF85" w14:textId="77777777" w:rsidR="00ED4C45" w:rsidRPr="0020208F" w:rsidRDefault="00ED4C45" w:rsidP="00ED4C45">
      <w:pPr>
        <w:contextualSpacing/>
        <w:mirrorIndents/>
        <w:jc w:val="both"/>
        <w:rPr>
          <w:sz w:val="20"/>
          <w:szCs w:val="20"/>
        </w:rPr>
      </w:pPr>
      <w:r w:rsidRPr="0020208F">
        <w:rPr>
          <w:color w:val="000000"/>
          <w:sz w:val="20"/>
          <w:szCs w:val="20"/>
        </w:rPr>
        <w:t xml:space="preserve">Among all the patients with dysphagia, almost half of the patients were recommended to be NPO. As a recommendation of NPO would imply a greater severity on deficits, this finding is suggestive that COVID has a severely </w:t>
      </w:r>
      <w:proofErr w:type="spellStart"/>
      <w:r w:rsidRPr="0020208F">
        <w:rPr>
          <w:color w:val="000000"/>
          <w:sz w:val="20"/>
          <w:szCs w:val="20"/>
        </w:rPr>
        <w:t>adverse affect</w:t>
      </w:r>
      <w:proofErr w:type="spellEnd"/>
      <w:r w:rsidRPr="0020208F">
        <w:rPr>
          <w:color w:val="000000"/>
          <w:sz w:val="20"/>
          <w:szCs w:val="20"/>
        </w:rPr>
        <w:t xml:space="preserve"> on oral and pharyngeal swallow function. Further, a higher proportion of those requiring NPO status were the intubated patients, indicative of greater impact on those individuals that are status post </w:t>
      </w:r>
      <w:proofErr w:type="spellStart"/>
      <w:r w:rsidRPr="0020208F">
        <w:rPr>
          <w:color w:val="000000"/>
          <w:sz w:val="20"/>
          <w:szCs w:val="20"/>
        </w:rPr>
        <w:t>extubation</w:t>
      </w:r>
      <w:proofErr w:type="spellEnd"/>
      <w:r w:rsidRPr="0020208F">
        <w:rPr>
          <w:color w:val="000000"/>
          <w:sz w:val="20"/>
          <w:szCs w:val="20"/>
        </w:rPr>
        <w:t xml:space="preserve">. Further, age was found to be a contributing factor for severity of dysphagia as this study found that patients who required NPO status had a higher median age as compared to those patients that were recommended to be on a diet following the swallowing evaluation. Our findings are consistent with prior </w:t>
      </w:r>
      <w:r w:rsidRPr="0020208F">
        <w:rPr>
          <w:sz w:val="20"/>
          <w:szCs w:val="20"/>
        </w:rPr>
        <w:t xml:space="preserve">research that found that 30-45% of elderly patients in acute and rehabilitations settings receive a modified diet </w:t>
      </w:r>
      <w:r>
        <w:rPr>
          <w:color w:val="FF0000"/>
          <w:sz w:val="20"/>
          <w:szCs w:val="20"/>
        </w:rPr>
        <w:t>[13]</w:t>
      </w:r>
      <w:r w:rsidRPr="0020208F">
        <w:rPr>
          <w:sz w:val="20"/>
          <w:szCs w:val="20"/>
        </w:rPr>
        <w:t>.</w:t>
      </w:r>
    </w:p>
    <w:p w14:paraId="7C3D8A4B" w14:textId="77777777" w:rsidR="00ED4C45" w:rsidRPr="0020208F" w:rsidRDefault="00ED4C45" w:rsidP="00ED4C45">
      <w:pPr>
        <w:contextualSpacing/>
        <w:mirrorIndents/>
        <w:jc w:val="both"/>
        <w:rPr>
          <w:sz w:val="20"/>
          <w:szCs w:val="20"/>
        </w:rPr>
      </w:pPr>
    </w:p>
    <w:p w14:paraId="5FEF5C4D" w14:textId="77777777" w:rsidR="00ED4C45" w:rsidRPr="0020208F" w:rsidRDefault="00ED4C45" w:rsidP="00ED4C45">
      <w:pPr>
        <w:contextualSpacing/>
        <w:mirrorIndents/>
        <w:jc w:val="both"/>
        <w:rPr>
          <w:sz w:val="20"/>
          <w:szCs w:val="20"/>
        </w:rPr>
      </w:pPr>
      <w:r w:rsidRPr="0020208F">
        <w:rPr>
          <w:sz w:val="20"/>
          <w:szCs w:val="20"/>
        </w:rPr>
        <w:t xml:space="preserve">Although not statistically significant, this study found that duration of intubation was correlated with the severity of the presenting dysphagia. We found that the median duration of intubation was higher for patients recommended to be NPO relative to those placed on a PO solid diet. We also observed a shorter period of intubation for those individuals recommended to be on thin or thick fluids than that of patients requiring NPO. Further, those individuals requiring thick fluids had a longer period of intubation that those recommended for thin fluids. These findings indicate that there can be positive association between duration of intubation and the severity of patients’ condition for dysphagia. Consistent with other research that found that prolonged intubation places patients at risk for oropharyngeal dysphagia </w:t>
      </w:r>
      <w:r>
        <w:rPr>
          <w:color w:val="FF0000"/>
          <w:sz w:val="20"/>
          <w:szCs w:val="20"/>
        </w:rPr>
        <w:t>[6</w:t>
      </w:r>
      <w:proofErr w:type="gramStart"/>
      <w:r>
        <w:rPr>
          <w:color w:val="FF0000"/>
          <w:sz w:val="20"/>
          <w:szCs w:val="20"/>
        </w:rPr>
        <w:t>,5,14,15</w:t>
      </w:r>
      <w:proofErr w:type="gramEnd"/>
      <w:r>
        <w:rPr>
          <w:color w:val="FF0000"/>
          <w:sz w:val="20"/>
          <w:szCs w:val="20"/>
        </w:rPr>
        <w:t>]</w:t>
      </w:r>
      <w:r w:rsidRPr="0020208F">
        <w:rPr>
          <w:color w:val="C0504D" w:themeColor="accent2"/>
          <w:sz w:val="20"/>
          <w:szCs w:val="20"/>
        </w:rPr>
        <w:t xml:space="preserve">. </w:t>
      </w:r>
    </w:p>
    <w:p w14:paraId="7CB4D5F4" w14:textId="77777777" w:rsidR="00ED4C45" w:rsidRPr="0020208F" w:rsidRDefault="00ED4C45" w:rsidP="00ED4C45">
      <w:pPr>
        <w:contextualSpacing/>
        <w:mirrorIndents/>
        <w:jc w:val="both"/>
        <w:rPr>
          <w:sz w:val="20"/>
          <w:szCs w:val="20"/>
        </w:rPr>
      </w:pPr>
    </w:p>
    <w:p w14:paraId="2107C06A" w14:textId="77777777" w:rsidR="005A1CC5" w:rsidRDefault="00ED4C45" w:rsidP="00ED4C45">
      <w:pPr>
        <w:contextualSpacing/>
        <w:mirrorIndents/>
        <w:jc w:val="both"/>
        <w:rPr>
          <w:sz w:val="20"/>
          <w:szCs w:val="20"/>
        </w:rPr>
      </w:pPr>
      <w:r w:rsidRPr="0020208F">
        <w:rPr>
          <w:sz w:val="20"/>
          <w:szCs w:val="20"/>
        </w:rPr>
        <w:t>Based on findings from this study, it is suggested that all patients diagnosed with the COVID-19 virus have a dysphagia evaluation or at minimum a screening as part of standard of care. Endotracheal intubation should not be the only factor considered when recommending a swallowing ev</w:t>
      </w:r>
      <w:r w:rsidR="005A1CC5">
        <w:rPr>
          <w:sz w:val="20"/>
          <w:szCs w:val="20"/>
        </w:rPr>
        <w:t>aluation for these individuals.</w:t>
      </w:r>
    </w:p>
    <w:p w14:paraId="1E260C94" w14:textId="77777777" w:rsidR="005A1CC5" w:rsidRDefault="005A1CC5" w:rsidP="00ED4C45">
      <w:pPr>
        <w:contextualSpacing/>
        <w:mirrorIndents/>
        <w:jc w:val="both"/>
        <w:rPr>
          <w:sz w:val="20"/>
          <w:szCs w:val="20"/>
        </w:rPr>
      </w:pPr>
    </w:p>
    <w:p w14:paraId="1EF17B4B" w14:textId="416D6E1C" w:rsidR="00ED4C45" w:rsidRDefault="00ED4C45" w:rsidP="00ED4C45">
      <w:pPr>
        <w:contextualSpacing/>
        <w:mirrorIndents/>
        <w:jc w:val="both"/>
        <w:rPr>
          <w:sz w:val="20"/>
          <w:szCs w:val="20"/>
        </w:rPr>
      </w:pPr>
      <w:r w:rsidRPr="0020208F">
        <w:rPr>
          <w:sz w:val="20"/>
          <w:szCs w:val="20"/>
        </w:rPr>
        <w:t xml:space="preserve">Since we have a small sample of 39 patients, the statistical tests of significance for the difference between two groups can be of small power (may fail to detect significance for smaller difference). Future studies with larger sample can provide more information about statistical significance. Additionally, future research should consider the analysis of </w:t>
      </w:r>
      <w:proofErr w:type="spellStart"/>
      <w:r w:rsidRPr="0020208F">
        <w:rPr>
          <w:sz w:val="20"/>
          <w:szCs w:val="20"/>
        </w:rPr>
        <w:t>sarcopenia</w:t>
      </w:r>
      <w:proofErr w:type="spellEnd"/>
      <w:r w:rsidRPr="0020208F">
        <w:rPr>
          <w:sz w:val="20"/>
          <w:szCs w:val="20"/>
        </w:rPr>
        <w:t xml:space="preserve"> as a possible etiology for dysphagia in individuals diagnosed with COVID-19.</w:t>
      </w:r>
    </w:p>
    <w:p w14:paraId="3113A3C5" w14:textId="77777777" w:rsidR="00ED4C45" w:rsidRDefault="00ED4C45" w:rsidP="00ED4C45">
      <w:pPr>
        <w:contextualSpacing/>
        <w:mirrorIndents/>
        <w:jc w:val="both"/>
        <w:rPr>
          <w:sz w:val="20"/>
          <w:szCs w:val="20"/>
        </w:rPr>
      </w:pPr>
    </w:p>
    <w:p w14:paraId="597E86E5" w14:textId="77777777" w:rsidR="00ED4C45" w:rsidRPr="00451F88" w:rsidRDefault="00ED4C45" w:rsidP="00ED4C45">
      <w:pPr>
        <w:contextualSpacing/>
        <w:mirrorIndents/>
        <w:jc w:val="both"/>
        <w:rPr>
          <w:b/>
          <w:sz w:val="22"/>
          <w:szCs w:val="22"/>
        </w:rPr>
      </w:pPr>
      <w:r w:rsidRPr="00451F88">
        <w:rPr>
          <w:b/>
          <w:sz w:val="22"/>
          <w:szCs w:val="22"/>
        </w:rPr>
        <w:t>Funding</w:t>
      </w:r>
    </w:p>
    <w:p w14:paraId="6609E039" w14:textId="77777777" w:rsidR="00ED4C45" w:rsidRDefault="00ED4C45" w:rsidP="00ED4C45">
      <w:pPr>
        <w:contextualSpacing/>
        <w:mirrorIndents/>
        <w:jc w:val="both"/>
        <w:rPr>
          <w:sz w:val="20"/>
          <w:szCs w:val="20"/>
        </w:rPr>
      </w:pPr>
    </w:p>
    <w:p w14:paraId="23EBCD2A" w14:textId="77777777" w:rsidR="00ED4C45" w:rsidRDefault="00ED4C45" w:rsidP="00ED4C45">
      <w:pPr>
        <w:contextualSpacing/>
        <w:mirrorIndents/>
        <w:jc w:val="both"/>
        <w:rPr>
          <w:sz w:val="20"/>
          <w:szCs w:val="20"/>
        </w:rPr>
      </w:pPr>
      <w:r w:rsidRPr="0055748A">
        <w:rPr>
          <w:sz w:val="20"/>
          <w:szCs w:val="20"/>
        </w:rPr>
        <w:lastRenderedPageBreak/>
        <w:t>This research did not receive any specific grant from funding agencies in the public, commerc</w:t>
      </w:r>
      <w:r>
        <w:rPr>
          <w:sz w:val="20"/>
          <w:szCs w:val="20"/>
        </w:rPr>
        <w:t>ial, or not-for-profit sectors.</w:t>
      </w:r>
    </w:p>
    <w:p w14:paraId="282A91A9" w14:textId="77777777" w:rsidR="00ED4C45" w:rsidRPr="0055748A" w:rsidRDefault="00ED4C45" w:rsidP="00ED4C45">
      <w:pPr>
        <w:contextualSpacing/>
        <w:mirrorIndents/>
        <w:jc w:val="both"/>
        <w:rPr>
          <w:sz w:val="20"/>
          <w:szCs w:val="20"/>
        </w:rPr>
      </w:pPr>
    </w:p>
    <w:p w14:paraId="0422CC3A" w14:textId="77777777" w:rsidR="00ED4C45" w:rsidRPr="00024110" w:rsidRDefault="00ED4C45" w:rsidP="00ED4C45">
      <w:pPr>
        <w:contextualSpacing/>
        <w:mirrorIndents/>
        <w:jc w:val="both"/>
        <w:rPr>
          <w:b/>
          <w:sz w:val="20"/>
          <w:szCs w:val="20"/>
        </w:rPr>
      </w:pPr>
      <w:r w:rsidRPr="00024110">
        <w:rPr>
          <w:b/>
          <w:sz w:val="20"/>
          <w:szCs w:val="20"/>
        </w:rPr>
        <w:t>Declarations of Interest</w:t>
      </w:r>
    </w:p>
    <w:p w14:paraId="460179A7" w14:textId="77777777" w:rsidR="00ED4C45" w:rsidRDefault="00ED4C45" w:rsidP="00ED4C45">
      <w:pPr>
        <w:contextualSpacing/>
        <w:mirrorIndents/>
        <w:jc w:val="both"/>
        <w:rPr>
          <w:sz w:val="20"/>
          <w:szCs w:val="20"/>
        </w:rPr>
      </w:pPr>
    </w:p>
    <w:p w14:paraId="41A4D86E" w14:textId="77777777" w:rsidR="00ED4C45" w:rsidRPr="0055748A" w:rsidRDefault="00ED4C45" w:rsidP="00ED4C45">
      <w:pPr>
        <w:contextualSpacing/>
        <w:mirrorIndents/>
        <w:jc w:val="both"/>
        <w:rPr>
          <w:sz w:val="20"/>
          <w:szCs w:val="20"/>
        </w:rPr>
      </w:pPr>
      <w:r w:rsidRPr="0055748A">
        <w:rPr>
          <w:sz w:val="20"/>
          <w:szCs w:val="20"/>
        </w:rPr>
        <w:t>None</w:t>
      </w:r>
      <w:r>
        <w:rPr>
          <w:sz w:val="20"/>
          <w:szCs w:val="20"/>
        </w:rPr>
        <w:t>.</w:t>
      </w:r>
    </w:p>
    <w:p w14:paraId="34994BAE" w14:textId="1514D1CB" w:rsidR="00ED4C45" w:rsidRPr="007D03ED" w:rsidRDefault="00ED4C45" w:rsidP="00ED4C45">
      <w:pPr>
        <w:mirrorIndents/>
        <w:jc w:val="both"/>
        <w:rPr>
          <w:sz w:val="20"/>
          <w:szCs w:val="20"/>
        </w:rPr>
      </w:pPr>
    </w:p>
    <w:p w14:paraId="77F92F0B" w14:textId="77777777" w:rsidR="00ED4C45" w:rsidRPr="00426EC9" w:rsidRDefault="00ED4C45" w:rsidP="00ED4C45">
      <w:pPr>
        <w:contextualSpacing/>
        <w:mirrorIndents/>
        <w:jc w:val="center"/>
        <w:rPr>
          <w:b/>
          <w:sz w:val="22"/>
          <w:szCs w:val="22"/>
        </w:rPr>
      </w:pPr>
      <w:r w:rsidRPr="00426EC9">
        <w:rPr>
          <w:b/>
          <w:sz w:val="22"/>
          <w:szCs w:val="22"/>
        </w:rPr>
        <w:t>References</w:t>
      </w:r>
    </w:p>
    <w:p w14:paraId="2D8EBB39" w14:textId="77777777" w:rsidR="00ED4C45" w:rsidRDefault="00ED4C45" w:rsidP="00ED4C45">
      <w:pPr>
        <w:contextualSpacing/>
        <w:mirrorIndents/>
        <w:jc w:val="both"/>
        <w:rPr>
          <w:sz w:val="20"/>
          <w:szCs w:val="20"/>
        </w:rPr>
      </w:pPr>
    </w:p>
    <w:p w14:paraId="57B147DB" w14:textId="77777777" w:rsidR="00ED4C45" w:rsidRPr="007D03ED" w:rsidRDefault="00E96E69" w:rsidP="00ED4C45">
      <w:pPr>
        <w:pStyle w:val="ListParagraph"/>
        <w:numPr>
          <w:ilvl w:val="0"/>
          <w:numId w:val="24"/>
        </w:numPr>
        <w:spacing w:after="0" w:line="240" w:lineRule="auto"/>
        <w:mirrorIndents/>
        <w:jc w:val="both"/>
        <w:rPr>
          <w:rFonts w:ascii="Times New Roman" w:hAnsi="Times New Roman" w:cs="Times New Roman"/>
          <w:sz w:val="20"/>
          <w:szCs w:val="20"/>
        </w:rPr>
      </w:pPr>
      <w:hyperlink r:id="rId8" w:history="1">
        <w:r w:rsidR="00ED4C45" w:rsidRPr="007D03ED">
          <w:rPr>
            <w:rStyle w:val="Hyperlink"/>
            <w:rFonts w:ascii="Times New Roman" w:hAnsi="Times New Roman" w:cs="Times New Roman"/>
            <w:sz w:val="20"/>
            <w:szCs w:val="20"/>
            <w:u w:val="none"/>
          </w:rPr>
          <w:t>Guan W, Ni Z, Hu Y, et al. (2020) Clinical characteristics of coronavirus disease 2019 in China. The New England Journal of Medicine 382: 1708-1720.</w:t>
        </w:r>
      </w:hyperlink>
    </w:p>
    <w:p w14:paraId="471E87B5" w14:textId="77777777" w:rsidR="00ED4C45" w:rsidRPr="007D03ED" w:rsidRDefault="00E96E69" w:rsidP="00ED4C45">
      <w:pPr>
        <w:pStyle w:val="ListParagraph"/>
        <w:numPr>
          <w:ilvl w:val="0"/>
          <w:numId w:val="24"/>
        </w:numPr>
        <w:spacing w:after="0" w:line="240" w:lineRule="auto"/>
        <w:mirrorIndents/>
        <w:jc w:val="both"/>
        <w:rPr>
          <w:rFonts w:ascii="Times New Roman" w:hAnsi="Times New Roman" w:cs="Times New Roman"/>
          <w:sz w:val="20"/>
          <w:szCs w:val="20"/>
        </w:rPr>
      </w:pPr>
      <w:hyperlink r:id="rId9" w:history="1">
        <w:r w:rsidR="00ED4C45" w:rsidRPr="007D03ED">
          <w:rPr>
            <w:rStyle w:val="Hyperlink"/>
            <w:rFonts w:ascii="Times New Roman" w:hAnsi="Times New Roman" w:cs="Times New Roman"/>
            <w:sz w:val="20"/>
            <w:szCs w:val="20"/>
            <w:u w:val="none"/>
          </w:rPr>
          <w:t>Wang D, Hu B, Hu C, et al. (2020) Clinical characteristics of 138 hospitalized patients with 2019 novel coronavirus-infected pneumonia in Wuhan, China. JAMA. 323: 1061-1069.</w:t>
        </w:r>
      </w:hyperlink>
    </w:p>
    <w:p w14:paraId="7948FAD9" w14:textId="77777777" w:rsidR="00ED4C45" w:rsidRPr="007D03ED" w:rsidRDefault="00E96E69" w:rsidP="00ED4C45">
      <w:pPr>
        <w:pStyle w:val="ListParagraph"/>
        <w:numPr>
          <w:ilvl w:val="0"/>
          <w:numId w:val="24"/>
        </w:numPr>
        <w:spacing w:after="0" w:line="240" w:lineRule="auto"/>
        <w:mirrorIndents/>
        <w:jc w:val="both"/>
        <w:rPr>
          <w:rFonts w:ascii="Times New Roman" w:hAnsi="Times New Roman" w:cs="Times New Roman"/>
          <w:sz w:val="20"/>
          <w:szCs w:val="20"/>
        </w:rPr>
      </w:pPr>
      <w:hyperlink r:id="rId10" w:history="1">
        <w:r w:rsidR="00ED4C45" w:rsidRPr="007D03ED">
          <w:rPr>
            <w:rStyle w:val="Hyperlink"/>
            <w:rFonts w:ascii="Times New Roman" w:hAnsi="Times New Roman" w:cs="Times New Roman"/>
            <w:sz w:val="20"/>
            <w:szCs w:val="20"/>
            <w:u w:val="none"/>
          </w:rPr>
          <w:t>Zhou F, Yu T, Du R, et al. (2020) Clinical course and risk factors for mortality of adult inpatients with COVID-19 in Wuhan, China: A retrospective cohort study. Lancet 395: 1014-1015.</w:t>
        </w:r>
      </w:hyperlink>
    </w:p>
    <w:p w14:paraId="7FCC5DB3" w14:textId="77777777" w:rsidR="00ED4C45" w:rsidRPr="007D03ED" w:rsidRDefault="00E96E69" w:rsidP="00ED4C45">
      <w:pPr>
        <w:pStyle w:val="ListParagraph"/>
        <w:numPr>
          <w:ilvl w:val="0"/>
          <w:numId w:val="24"/>
        </w:numPr>
        <w:spacing w:after="0" w:line="240" w:lineRule="auto"/>
        <w:mirrorIndents/>
        <w:jc w:val="both"/>
        <w:rPr>
          <w:rFonts w:ascii="Times New Roman" w:hAnsi="Times New Roman" w:cs="Times New Roman"/>
          <w:sz w:val="20"/>
          <w:szCs w:val="20"/>
        </w:rPr>
      </w:pPr>
      <w:hyperlink r:id="rId11" w:history="1">
        <w:proofErr w:type="spellStart"/>
        <w:r w:rsidR="00ED4C45" w:rsidRPr="007D03ED">
          <w:rPr>
            <w:rStyle w:val="Hyperlink"/>
            <w:rFonts w:ascii="Times New Roman" w:hAnsi="Times New Roman" w:cs="Times New Roman"/>
            <w:sz w:val="20"/>
            <w:szCs w:val="20"/>
            <w:u w:val="none"/>
          </w:rPr>
          <w:t>Schefold</w:t>
        </w:r>
        <w:proofErr w:type="spellEnd"/>
        <w:r w:rsidR="00ED4C45" w:rsidRPr="007D03ED">
          <w:rPr>
            <w:rStyle w:val="Hyperlink"/>
            <w:rFonts w:ascii="Times New Roman" w:hAnsi="Times New Roman" w:cs="Times New Roman"/>
            <w:sz w:val="20"/>
            <w:szCs w:val="20"/>
            <w:u w:val="none"/>
          </w:rPr>
          <w:t xml:space="preserve"> J, Berger D, </w:t>
        </w:r>
        <w:proofErr w:type="spellStart"/>
        <w:r w:rsidR="00ED4C45" w:rsidRPr="007D03ED">
          <w:rPr>
            <w:rStyle w:val="Hyperlink"/>
            <w:rFonts w:ascii="Times New Roman" w:hAnsi="Times New Roman" w:cs="Times New Roman"/>
            <w:sz w:val="20"/>
            <w:szCs w:val="20"/>
            <w:u w:val="none"/>
          </w:rPr>
          <w:t>Zurcher</w:t>
        </w:r>
        <w:proofErr w:type="spellEnd"/>
        <w:r w:rsidR="00ED4C45" w:rsidRPr="007D03ED">
          <w:rPr>
            <w:rStyle w:val="Hyperlink"/>
            <w:rFonts w:ascii="Times New Roman" w:hAnsi="Times New Roman" w:cs="Times New Roman"/>
            <w:sz w:val="20"/>
            <w:szCs w:val="20"/>
            <w:u w:val="none"/>
          </w:rPr>
          <w:t xml:space="preserve"> P, et al. (2017) Dysphagia in mechanically ventilated ICU patients (Dynamics): A prospective observational trial. Critical Care Medicine 45: 20161-2069.</w:t>
        </w:r>
      </w:hyperlink>
    </w:p>
    <w:p w14:paraId="5E339A6E" w14:textId="77777777" w:rsidR="00ED4C45" w:rsidRPr="007D03ED" w:rsidRDefault="00E96E69" w:rsidP="00ED4C45">
      <w:pPr>
        <w:pStyle w:val="ListParagraph"/>
        <w:numPr>
          <w:ilvl w:val="0"/>
          <w:numId w:val="24"/>
        </w:numPr>
        <w:spacing w:after="0" w:line="240" w:lineRule="auto"/>
        <w:mirrorIndents/>
        <w:jc w:val="both"/>
        <w:rPr>
          <w:rFonts w:ascii="Times New Roman" w:hAnsi="Times New Roman" w:cs="Times New Roman"/>
          <w:sz w:val="20"/>
          <w:szCs w:val="20"/>
        </w:rPr>
      </w:pPr>
      <w:hyperlink r:id="rId12" w:history="1">
        <w:proofErr w:type="spellStart"/>
        <w:r w:rsidR="00ED4C45" w:rsidRPr="007D03ED">
          <w:rPr>
            <w:rStyle w:val="Hyperlink"/>
            <w:rFonts w:ascii="Times New Roman" w:hAnsi="Times New Roman" w:cs="Times New Roman"/>
            <w:sz w:val="20"/>
            <w:szCs w:val="20"/>
            <w:u w:val="none"/>
            <w:shd w:val="clear" w:color="auto" w:fill="FFFFFF"/>
          </w:rPr>
          <w:t>Skoretz</w:t>
        </w:r>
        <w:proofErr w:type="spellEnd"/>
        <w:r w:rsidR="00ED4C45" w:rsidRPr="007D03ED">
          <w:rPr>
            <w:rStyle w:val="Hyperlink"/>
            <w:rFonts w:ascii="Times New Roman" w:hAnsi="Times New Roman" w:cs="Times New Roman"/>
            <w:sz w:val="20"/>
            <w:szCs w:val="20"/>
            <w:u w:val="none"/>
            <w:shd w:val="clear" w:color="auto" w:fill="FFFFFF"/>
          </w:rPr>
          <w:t xml:space="preserve"> S, Flowers H, Martino R (2010) </w:t>
        </w:r>
        <w:proofErr w:type="gramStart"/>
        <w:r w:rsidR="00ED4C45" w:rsidRPr="007D03ED">
          <w:rPr>
            <w:rStyle w:val="Hyperlink"/>
            <w:rFonts w:ascii="Times New Roman" w:hAnsi="Times New Roman" w:cs="Times New Roman"/>
            <w:sz w:val="20"/>
            <w:szCs w:val="20"/>
            <w:u w:val="none"/>
            <w:shd w:val="clear" w:color="auto" w:fill="FFFFFF"/>
          </w:rPr>
          <w:t>The</w:t>
        </w:r>
        <w:proofErr w:type="gramEnd"/>
        <w:r w:rsidR="00ED4C45" w:rsidRPr="007D03ED">
          <w:rPr>
            <w:rStyle w:val="Hyperlink"/>
            <w:rFonts w:ascii="Times New Roman" w:hAnsi="Times New Roman" w:cs="Times New Roman"/>
            <w:sz w:val="20"/>
            <w:szCs w:val="20"/>
            <w:u w:val="none"/>
            <w:shd w:val="clear" w:color="auto" w:fill="FFFFFF"/>
          </w:rPr>
          <w:t xml:space="preserve"> incidence of dysphagia following endotracheal intubation: A systemic review. Chest 137: 665-673.</w:t>
        </w:r>
      </w:hyperlink>
    </w:p>
    <w:p w14:paraId="7CB85848" w14:textId="77777777" w:rsidR="00ED4C45" w:rsidRPr="007D03ED" w:rsidRDefault="00E96E69" w:rsidP="00ED4C45">
      <w:pPr>
        <w:pStyle w:val="ListParagraph"/>
        <w:numPr>
          <w:ilvl w:val="0"/>
          <w:numId w:val="24"/>
        </w:numPr>
        <w:spacing w:after="0" w:line="240" w:lineRule="auto"/>
        <w:mirrorIndents/>
        <w:jc w:val="both"/>
        <w:rPr>
          <w:rFonts w:ascii="Times New Roman" w:hAnsi="Times New Roman" w:cs="Times New Roman"/>
          <w:sz w:val="20"/>
          <w:szCs w:val="20"/>
        </w:rPr>
      </w:pPr>
      <w:hyperlink r:id="rId13" w:anchor=":~:text=Conclusion,a%20swallowing%20evaluation%20after%20extubation." w:history="1">
        <w:r w:rsidR="00ED4C45" w:rsidRPr="007D03ED">
          <w:rPr>
            <w:rStyle w:val="Hyperlink"/>
            <w:rFonts w:ascii="Times New Roman" w:hAnsi="Times New Roman" w:cs="Times New Roman"/>
            <w:sz w:val="20"/>
            <w:szCs w:val="20"/>
            <w:u w:val="none"/>
          </w:rPr>
          <w:t>Kim M, Park Y, Park Y, et al. (2015) Associations between prolonged intubation and developing post-</w:t>
        </w:r>
        <w:proofErr w:type="spellStart"/>
        <w:r w:rsidR="00ED4C45" w:rsidRPr="007D03ED">
          <w:rPr>
            <w:rStyle w:val="Hyperlink"/>
            <w:rFonts w:ascii="Times New Roman" w:hAnsi="Times New Roman" w:cs="Times New Roman"/>
            <w:sz w:val="20"/>
            <w:szCs w:val="20"/>
            <w:u w:val="none"/>
          </w:rPr>
          <w:t>extubation</w:t>
        </w:r>
        <w:proofErr w:type="spellEnd"/>
        <w:r w:rsidR="00ED4C45" w:rsidRPr="007D03ED">
          <w:rPr>
            <w:rStyle w:val="Hyperlink"/>
            <w:rFonts w:ascii="Times New Roman" w:hAnsi="Times New Roman" w:cs="Times New Roman"/>
            <w:sz w:val="20"/>
            <w:szCs w:val="20"/>
            <w:u w:val="none"/>
          </w:rPr>
          <w:t xml:space="preserve"> dysphagia and aspiration pneumonia in non-neurologic critically ill patients. Annals of Rehabilitation Medicine 39: 763-771.</w:t>
        </w:r>
      </w:hyperlink>
    </w:p>
    <w:p w14:paraId="471FB8B1" w14:textId="77777777" w:rsidR="00ED4C45" w:rsidRPr="007D03ED" w:rsidRDefault="00E96E69" w:rsidP="00ED4C45">
      <w:pPr>
        <w:pStyle w:val="ListParagraph"/>
        <w:numPr>
          <w:ilvl w:val="0"/>
          <w:numId w:val="24"/>
        </w:numPr>
        <w:spacing w:after="0" w:line="240" w:lineRule="auto"/>
        <w:mirrorIndents/>
        <w:jc w:val="both"/>
        <w:rPr>
          <w:rFonts w:ascii="Times New Roman" w:hAnsi="Times New Roman" w:cs="Times New Roman"/>
          <w:sz w:val="20"/>
          <w:szCs w:val="20"/>
        </w:rPr>
      </w:pPr>
      <w:hyperlink r:id="rId14" w:anchor=":~:text=Altered%20laryngeal%20sensation%20was%20significantly,(p%20%3D%200.001)%20diets." w:history="1">
        <w:r w:rsidR="00ED4C45" w:rsidRPr="007D03ED">
          <w:rPr>
            <w:rStyle w:val="Hyperlink"/>
            <w:rFonts w:ascii="Times New Roman" w:hAnsi="Times New Roman" w:cs="Times New Roman"/>
            <w:sz w:val="20"/>
            <w:szCs w:val="20"/>
            <w:u w:val="none"/>
          </w:rPr>
          <w:t>Borders J, Fink D, Levitt J, et al. (2019) Relationship between laryngeal sensations, length of intubation, and aspiration in patients with acute respiratory failure. Dysphagia 34: 521-528.</w:t>
        </w:r>
      </w:hyperlink>
    </w:p>
    <w:p w14:paraId="26FD45EE" w14:textId="77777777" w:rsidR="00ED4C45" w:rsidRPr="007D03ED" w:rsidRDefault="00E96E69" w:rsidP="00ED4C45">
      <w:pPr>
        <w:pStyle w:val="ListParagraph"/>
        <w:numPr>
          <w:ilvl w:val="0"/>
          <w:numId w:val="24"/>
        </w:numPr>
        <w:spacing w:after="0" w:line="240" w:lineRule="auto"/>
        <w:mirrorIndents/>
        <w:jc w:val="both"/>
        <w:rPr>
          <w:rFonts w:ascii="Times New Roman" w:hAnsi="Times New Roman" w:cs="Times New Roman"/>
          <w:sz w:val="20"/>
          <w:szCs w:val="20"/>
        </w:rPr>
      </w:pPr>
      <w:hyperlink r:id="rId15" w:history="1">
        <w:r w:rsidR="00ED4C45" w:rsidRPr="007D03ED">
          <w:rPr>
            <w:rStyle w:val="Hyperlink"/>
            <w:rFonts w:ascii="Times New Roman" w:hAnsi="Times New Roman" w:cs="Times New Roman"/>
            <w:sz w:val="20"/>
            <w:szCs w:val="20"/>
            <w:u w:val="none"/>
          </w:rPr>
          <w:t>Park H, Koo J, Song S (2017) Association of post-</w:t>
        </w:r>
        <w:proofErr w:type="spellStart"/>
        <w:r w:rsidR="00ED4C45" w:rsidRPr="007D03ED">
          <w:rPr>
            <w:rStyle w:val="Hyperlink"/>
            <w:rFonts w:ascii="Times New Roman" w:hAnsi="Times New Roman" w:cs="Times New Roman"/>
            <w:sz w:val="20"/>
            <w:szCs w:val="20"/>
            <w:u w:val="none"/>
          </w:rPr>
          <w:t>extubation</w:t>
        </w:r>
        <w:proofErr w:type="spellEnd"/>
        <w:r w:rsidR="00ED4C45" w:rsidRPr="007D03ED">
          <w:rPr>
            <w:rStyle w:val="Hyperlink"/>
            <w:rFonts w:ascii="Times New Roman" w:hAnsi="Times New Roman" w:cs="Times New Roman"/>
            <w:sz w:val="20"/>
            <w:szCs w:val="20"/>
            <w:u w:val="none"/>
          </w:rPr>
          <w:t xml:space="preserve"> dysphagia with tongue weakness and somatosensory disturbance in non-neurologic critically ill patients. Annals of Rehabilitation Medicine 41: 961-968.</w:t>
        </w:r>
      </w:hyperlink>
    </w:p>
    <w:p w14:paraId="5D7076F4" w14:textId="77777777" w:rsidR="00ED4C45" w:rsidRPr="007D03ED" w:rsidRDefault="00E96E69" w:rsidP="00ED4C45">
      <w:pPr>
        <w:pStyle w:val="ListParagraph"/>
        <w:numPr>
          <w:ilvl w:val="0"/>
          <w:numId w:val="24"/>
        </w:numPr>
        <w:spacing w:after="0" w:line="240" w:lineRule="auto"/>
        <w:mirrorIndents/>
        <w:jc w:val="both"/>
        <w:rPr>
          <w:rFonts w:ascii="Times New Roman" w:hAnsi="Times New Roman" w:cs="Times New Roman"/>
          <w:sz w:val="20"/>
          <w:szCs w:val="20"/>
        </w:rPr>
      </w:pPr>
      <w:hyperlink r:id="rId16" w:history="1">
        <w:r w:rsidR="00ED4C45" w:rsidRPr="007D03ED">
          <w:rPr>
            <w:rStyle w:val="Hyperlink"/>
            <w:rFonts w:ascii="Times New Roman" w:hAnsi="Times New Roman" w:cs="Times New Roman"/>
            <w:sz w:val="20"/>
            <w:szCs w:val="20"/>
            <w:u w:val="none"/>
          </w:rPr>
          <w:t xml:space="preserve">Su H, Hsiao T, Ku S, et al. (2015) Tongue weakness and somatosensory disturbance following oral endotracheal </w:t>
        </w:r>
        <w:proofErr w:type="spellStart"/>
        <w:r w:rsidR="00ED4C45" w:rsidRPr="007D03ED">
          <w:rPr>
            <w:rStyle w:val="Hyperlink"/>
            <w:rFonts w:ascii="Times New Roman" w:hAnsi="Times New Roman" w:cs="Times New Roman"/>
            <w:sz w:val="20"/>
            <w:szCs w:val="20"/>
            <w:u w:val="none"/>
          </w:rPr>
          <w:t>extubation</w:t>
        </w:r>
        <w:proofErr w:type="spellEnd"/>
        <w:r w:rsidR="00ED4C45" w:rsidRPr="007D03ED">
          <w:rPr>
            <w:rStyle w:val="Hyperlink"/>
            <w:rFonts w:ascii="Times New Roman" w:hAnsi="Times New Roman" w:cs="Times New Roman"/>
            <w:sz w:val="20"/>
            <w:szCs w:val="20"/>
            <w:u w:val="none"/>
          </w:rPr>
          <w:t>. Dysphagia 30: 188-195.</w:t>
        </w:r>
      </w:hyperlink>
    </w:p>
    <w:p w14:paraId="3E905106" w14:textId="77777777" w:rsidR="00ED4C45" w:rsidRPr="007D03ED" w:rsidRDefault="00E96E69" w:rsidP="00ED4C45">
      <w:pPr>
        <w:pStyle w:val="ListParagraph"/>
        <w:numPr>
          <w:ilvl w:val="0"/>
          <w:numId w:val="24"/>
        </w:numPr>
        <w:spacing w:after="0" w:line="240" w:lineRule="auto"/>
        <w:mirrorIndents/>
        <w:jc w:val="both"/>
        <w:rPr>
          <w:rFonts w:ascii="Times New Roman" w:hAnsi="Times New Roman" w:cs="Times New Roman"/>
          <w:sz w:val="20"/>
          <w:szCs w:val="20"/>
        </w:rPr>
      </w:pPr>
      <w:hyperlink r:id="rId17" w:history="1">
        <w:r w:rsidR="00ED4C45" w:rsidRPr="007D03ED">
          <w:rPr>
            <w:rStyle w:val="Hyperlink"/>
            <w:rFonts w:ascii="Times New Roman" w:hAnsi="Times New Roman" w:cs="Times New Roman"/>
            <w:sz w:val="20"/>
            <w:szCs w:val="20"/>
            <w:u w:val="none"/>
          </w:rPr>
          <w:t>Chen C, Wu K, Ku S, et al. (2018) Bedside screen for oral cavity structure, salivary flow, and vocal production over the 14 days</w:t>
        </w:r>
        <w:r w:rsidR="00ED4C45" w:rsidRPr="007D03ED">
          <w:rPr>
            <w:rStyle w:val="Hyperlink"/>
            <w:rFonts w:ascii="Times New Roman" w:hAnsi="Times New Roman" w:cs="Times New Roman"/>
            <w:sz w:val="20"/>
            <w:szCs w:val="20"/>
            <w:u w:val="none"/>
          </w:rPr>
          <w:tab/>
          <w:t xml:space="preserve">following endotracheal </w:t>
        </w:r>
        <w:proofErr w:type="spellStart"/>
        <w:r w:rsidR="00ED4C45" w:rsidRPr="007D03ED">
          <w:rPr>
            <w:rStyle w:val="Hyperlink"/>
            <w:rFonts w:ascii="Times New Roman" w:hAnsi="Times New Roman" w:cs="Times New Roman"/>
            <w:sz w:val="20"/>
            <w:szCs w:val="20"/>
            <w:u w:val="none"/>
          </w:rPr>
          <w:t>extubation</w:t>
        </w:r>
        <w:proofErr w:type="spellEnd"/>
        <w:r w:rsidR="00ED4C45" w:rsidRPr="007D03ED">
          <w:rPr>
            <w:rStyle w:val="Hyperlink"/>
            <w:rFonts w:ascii="Times New Roman" w:hAnsi="Times New Roman" w:cs="Times New Roman"/>
            <w:sz w:val="20"/>
            <w:szCs w:val="20"/>
            <w:u w:val="none"/>
          </w:rPr>
          <w:t>. Journal of Critical Care 45: 1-6.</w:t>
        </w:r>
      </w:hyperlink>
      <w:r w:rsidR="00ED4C45" w:rsidRPr="007D03ED">
        <w:rPr>
          <w:rFonts w:ascii="Times New Roman" w:hAnsi="Times New Roman" w:cs="Times New Roman"/>
          <w:sz w:val="20"/>
          <w:szCs w:val="20"/>
        </w:rPr>
        <w:t xml:space="preserve"> </w:t>
      </w:r>
    </w:p>
    <w:p w14:paraId="4181199D" w14:textId="77777777" w:rsidR="00ED4C45" w:rsidRPr="007D03ED" w:rsidRDefault="00E96E69" w:rsidP="00ED4C45">
      <w:pPr>
        <w:pStyle w:val="ListParagraph"/>
        <w:numPr>
          <w:ilvl w:val="0"/>
          <w:numId w:val="24"/>
        </w:numPr>
        <w:spacing w:after="0" w:line="240" w:lineRule="auto"/>
        <w:mirrorIndents/>
        <w:jc w:val="both"/>
        <w:rPr>
          <w:rFonts w:ascii="Times New Roman" w:hAnsi="Times New Roman" w:cs="Times New Roman"/>
          <w:color w:val="642A8F"/>
          <w:sz w:val="20"/>
          <w:szCs w:val="20"/>
          <w:shd w:val="clear" w:color="auto" w:fill="FFFFFF"/>
        </w:rPr>
      </w:pPr>
      <w:hyperlink r:id="rId18" w:anchor=":~:text=The%20SOC%20group%20also%20had,14%20days%20following%20endotracheal%20extubation." w:history="1">
        <w:r w:rsidR="00ED4C45" w:rsidRPr="007D03ED">
          <w:rPr>
            <w:rStyle w:val="Hyperlink"/>
            <w:rFonts w:ascii="Times New Roman" w:hAnsi="Times New Roman" w:cs="Times New Roman"/>
            <w:sz w:val="20"/>
            <w:szCs w:val="20"/>
            <w:u w:val="none"/>
          </w:rPr>
          <w:t xml:space="preserve">Wu C, Xu Y, Wang T, et al. (2019) Effects of swallowing and oral care intervention for patients following endotracheal </w:t>
        </w:r>
        <w:proofErr w:type="spellStart"/>
        <w:r w:rsidR="00ED4C45" w:rsidRPr="007D03ED">
          <w:rPr>
            <w:rStyle w:val="Hyperlink"/>
            <w:rFonts w:ascii="Times New Roman" w:hAnsi="Times New Roman" w:cs="Times New Roman"/>
            <w:sz w:val="20"/>
            <w:szCs w:val="20"/>
            <w:u w:val="none"/>
          </w:rPr>
          <w:t>extubation</w:t>
        </w:r>
        <w:proofErr w:type="spellEnd"/>
        <w:r w:rsidR="00ED4C45" w:rsidRPr="007D03ED">
          <w:rPr>
            <w:rStyle w:val="Hyperlink"/>
            <w:rFonts w:ascii="Times New Roman" w:hAnsi="Times New Roman" w:cs="Times New Roman"/>
            <w:sz w:val="20"/>
            <w:szCs w:val="20"/>
            <w:u w:val="none"/>
          </w:rPr>
          <w:t>: A pre- and post- intervention study. Critical Care 23: 1-8.</w:t>
        </w:r>
      </w:hyperlink>
    </w:p>
    <w:p w14:paraId="10C06BFD" w14:textId="77777777" w:rsidR="00ED4C45" w:rsidRPr="007D03ED" w:rsidRDefault="00E96E69" w:rsidP="00ED4C45">
      <w:pPr>
        <w:pStyle w:val="ListParagraph"/>
        <w:numPr>
          <w:ilvl w:val="0"/>
          <w:numId w:val="24"/>
        </w:numPr>
        <w:spacing w:after="0" w:line="240" w:lineRule="auto"/>
        <w:mirrorIndents/>
        <w:jc w:val="both"/>
        <w:rPr>
          <w:rFonts w:ascii="Times New Roman" w:hAnsi="Times New Roman" w:cs="Times New Roman"/>
          <w:sz w:val="20"/>
          <w:szCs w:val="20"/>
        </w:rPr>
      </w:pPr>
      <w:hyperlink r:id="rId19" w:history="1">
        <w:r w:rsidR="00ED4C45" w:rsidRPr="007D03ED">
          <w:rPr>
            <w:rStyle w:val="Hyperlink"/>
            <w:rFonts w:ascii="Times New Roman" w:hAnsi="Times New Roman" w:cs="Times New Roman"/>
            <w:sz w:val="20"/>
            <w:szCs w:val="20"/>
            <w:u w:val="none"/>
          </w:rPr>
          <w:t xml:space="preserve">Barker J, Martino R, </w:t>
        </w:r>
        <w:proofErr w:type="spellStart"/>
        <w:r w:rsidR="00ED4C45" w:rsidRPr="007D03ED">
          <w:rPr>
            <w:rStyle w:val="Hyperlink"/>
            <w:rFonts w:ascii="Times New Roman" w:hAnsi="Times New Roman" w:cs="Times New Roman"/>
            <w:sz w:val="20"/>
            <w:szCs w:val="20"/>
            <w:u w:val="none"/>
          </w:rPr>
          <w:t>Reichardt</w:t>
        </w:r>
        <w:proofErr w:type="spellEnd"/>
        <w:r w:rsidR="00ED4C45" w:rsidRPr="007D03ED">
          <w:rPr>
            <w:rStyle w:val="Hyperlink"/>
            <w:rFonts w:ascii="Times New Roman" w:hAnsi="Times New Roman" w:cs="Times New Roman"/>
            <w:sz w:val="20"/>
            <w:szCs w:val="20"/>
            <w:u w:val="none"/>
          </w:rPr>
          <w:t xml:space="preserve"> B, et al. (2009) Incidence and impact of dysphagia in patients receiving prolonged endotracheal </w:t>
        </w:r>
        <w:r w:rsidR="00ED4C45" w:rsidRPr="007D03ED">
          <w:rPr>
            <w:rStyle w:val="Hyperlink"/>
            <w:rFonts w:ascii="Times New Roman" w:hAnsi="Times New Roman" w:cs="Times New Roman"/>
            <w:sz w:val="20"/>
            <w:szCs w:val="20"/>
            <w:u w:val="none"/>
          </w:rPr>
          <w:tab/>
          <w:t>intubation after cardiac surgery. Cardiac Journal of Surgery 52: 119-124.</w:t>
        </w:r>
      </w:hyperlink>
    </w:p>
    <w:p w14:paraId="40FB751E" w14:textId="77777777" w:rsidR="00ED4C45" w:rsidRPr="007D03ED" w:rsidRDefault="00E96E69" w:rsidP="00ED4C45">
      <w:pPr>
        <w:pStyle w:val="ListParagraph"/>
        <w:numPr>
          <w:ilvl w:val="0"/>
          <w:numId w:val="24"/>
        </w:numPr>
        <w:spacing w:after="0" w:line="240" w:lineRule="auto"/>
        <w:mirrorIndents/>
        <w:jc w:val="both"/>
        <w:rPr>
          <w:rFonts w:ascii="Times New Roman" w:hAnsi="Times New Roman" w:cs="Times New Roman"/>
          <w:sz w:val="20"/>
          <w:szCs w:val="20"/>
        </w:rPr>
      </w:pPr>
      <w:hyperlink r:id="rId20" w:history="1">
        <w:proofErr w:type="spellStart"/>
        <w:r w:rsidR="00ED4C45" w:rsidRPr="007D03ED">
          <w:rPr>
            <w:rStyle w:val="Hyperlink"/>
            <w:rFonts w:ascii="Times New Roman" w:hAnsi="Times New Roman" w:cs="Times New Roman"/>
            <w:sz w:val="20"/>
            <w:szCs w:val="20"/>
            <w:u w:val="none"/>
          </w:rPr>
          <w:t>Zuercher</w:t>
        </w:r>
        <w:proofErr w:type="spellEnd"/>
        <w:r w:rsidR="00ED4C45" w:rsidRPr="007D03ED">
          <w:rPr>
            <w:rStyle w:val="Hyperlink"/>
            <w:rFonts w:ascii="Times New Roman" w:hAnsi="Times New Roman" w:cs="Times New Roman"/>
            <w:sz w:val="20"/>
            <w:szCs w:val="20"/>
            <w:u w:val="none"/>
          </w:rPr>
          <w:t xml:space="preserve">, P, </w:t>
        </w:r>
        <w:proofErr w:type="spellStart"/>
        <w:r w:rsidR="00ED4C45" w:rsidRPr="007D03ED">
          <w:rPr>
            <w:rStyle w:val="Hyperlink"/>
            <w:rFonts w:ascii="Times New Roman" w:hAnsi="Times New Roman" w:cs="Times New Roman"/>
            <w:sz w:val="20"/>
            <w:szCs w:val="20"/>
            <w:u w:val="none"/>
          </w:rPr>
          <w:t>Moret</w:t>
        </w:r>
        <w:proofErr w:type="spellEnd"/>
        <w:r w:rsidR="00ED4C45" w:rsidRPr="007D03ED">
          <w:rPr>
            <w:rStyle w:val="Hyperlink"/>
            <w:rFonts w:ascii="Times New Roman" w:hAnsi="Times New Roman" w:cs="Times New Roman"/>
            <w:sz w:val="20"/>
            <w:szCs w:val="20"/>
            <w:u w:val="none"/>
          </w:rPr>
          <w:t xml:space="preserve"> C, </w:t>
        </w:r>
        <w:proofErr w:type="spellStart"/>
        <w:r w:rsidR="00ED4C45" w:rsidRPr="007D03ED">
          <w:rPr>
            <w:rStyle w:val="Hyperlink"/>
            <w:rFonts w:ascii="Times New Roman" w:hAnsi="Times New Roman" w:cs="Times New Roman"/>
            <w:sz w:val="20"/>
            <w:szCs w:val="20"/>
            <w:u w:val="none"/>
          </w:rPr>
          <w:t>Dziewes</w:t>
        </w:r>
        <w:proofErr w:type="spellEnd"/>
        <w:r w:rsidR="00ED4C45" w:rsidRPr="007D03ED">
          <w:rPr>
            <w:rStyle w:val="Hyperlink"/>
            <w:rFonts w:ascii="Times New Roman" w:hAnsi="Times New Roman" w:cs="Times New Roman"/>
            <w:sz w:val="20"/>
            <w:szCs w:val="20"/>
            <w:u w:val="none"/>
          </w:rPr>
          <w:t xml:space="preserve"> R, et al. (2019) Dysphagia in the intensive care unit: Epidemiology, mechanisms, and clinical management. Critical Care 23: 1-11.</w:t>
        </w:r>
      </w:hyperlink>
    </w:p>
    <w:p w14:paraId="09C8E02F" w14:textId="77777777" w:rsidR="00ED4C45" w:rsidRPr="007D03ED" w:rsidRDefault="00E96E69" w:rsidP="00ED4C45">
      <w:pPr>
        <w:pStyle w:val="ListParagraph"/>
        <w:numPr>
          <w:ilvl w:val="0"/>
          <w:numId w:val="24"/>
        </w:numPr>
        <w:spacing w:after="0" w:line="240" w:lineRule="auto"/>
        <w:mirrorIndents/>
        <w:jc w:val="both"/>
        <w:rPr>
          <w:rFonts w:ascii="Times New Roman" w:hAnsi="Times New Roman" w:cs="Times New Roman"/>
          <w:sz w:val="20"/>
          <w:szCs w:val="20"/>
        </w:rPr>
      </w:pPr>
      <w:hyperlink r:id="rId21" w:history="1">
        <w:r w:rsidR="00ED4C45" w:rsidRPr="007D03ED">
          <w:rPr>
            <w:rStyle w:val="Hyperlink"/>
            <w:rFonts w:ascii="Times New Roman" w:hAnsi="Times New Roman" w:cs="Times New Roman"/>
            <w:sz w:val="20"/>
            <w:szCs w:val="20"/>
            <w:u w:val="none"/>
          </w:rPr>
          <w:t xml:space="preserve">Vergara J, </w:t>
        </w:r>
        <w:proofErr w:type="spellStart"/>
        <w:r w:rsidR="00ED4C45" w:rsidRPr="007D03ED">
          <w:rPr>
            <w:rStyle w:val="Hyperlink"/>
            <w:rFonts w:ascii="Times New Roman" w:hAnsi="Times New Roman" w:cs="Times New Roman"/>
            <w:sz w:val="20"/>
            <w:szCs w:val="20"/>
            <w:u w:val="none"/>
          </w:rPr>
          <w:t>Skoretz</w:t>
        </w:r>
        <w:proofErr w:type="spellEnd"/>
        <w:r w:rsidR="00ED4C45" w:rsidRPr="007D03ED">
          <w:rPr>
            <w:rStyle w:val="Hyperlink"/>
            <w:rFonts w:ascii="Times New Roman" w:hAnsi="Times New Roman" w:cs="Times New Roman"/>
            <w:sz w:val="20"/>
            <w:szCs w:val="20"/>
            <w:u w:val="none"/>
          </w:rPr>
          <w:t xml:space="preserve"> S, Brodsky M, et al. (2020) Assessment, diagnosis, and treatment of dysphagia in patients infected with SARS-CoV-2: A review of the literature and international guidelines. American Journal of Speech-Language Pathology 29: 2242-2253.</w:t>
        </w:r>
      </w:hyperlink>
    </w:p>
    <w:p w14:paraId="7A4D2E35" w14:textId="77777777" w:rsidR="00ED4C45" w:rsidRPr="007D03ED" w:rsidRDefault="00E96E69" w:rsidP="00ED4C45">
      <w:pPr>
        <w:pStyle w:val="ListParagraph"/>
        <w:numPr>
          <w:ilvl w:val="0"/>
          <w:numId w:val="24"/>
        </w:numPr>
        <w:spacing w:after="0" w:line="240" w:lineRule="auto"/>
        <w:mirrorIndents/>
        <w:jc w:val="both"/>
        <w:rPr>
          <w:rFonts w:ascii="Times New Roman" w:hAnsi="Times New Roman" w:cs="Times New Roman"/>
          <w:sz w:val="20"/>
          <w:szCs w:val="20"/>
        </w:rPr>
      </w:pPr>
      <w:hyperlink r:id="rId22" w:history="1">
        <w:proofErr w:type="spellStart"/>
        <w:r w:rsidR="00ED4C45" w:rsidRPr="007D03ED">
          <w:rPr>
            <w:rStyle w:val="Hyperlink"/>
            <w:rFonts w:ascii="Times New Roman" w:hAnsi="Times New Roman" w:cs="Times New Roman"/>
            <w:sz w:val="20"/>
            <w:szCs w:val="20"/>
            <w:u w:val="none"/>
          </w:rPr>
          <w:t>Malandraki</w:t>
        </w:r>
        <w:proofErr w:type="spellEnd"/>
        <w:r w:rsidR="00ED4C45" w:rsidRPr="007D03ED">
          <w:rPr>
            <w:rStyle w:val="Hyperlink"/>
            <w:rFonts w:ascii="Times New Roman" w:hAnsi="Times New Roman" w:cs="Times New Roman"/>
            <w:sz w:val="20"/>
            <w:szCs w:val="20"/>
            <w:u w:val="none"/>
          </w:rPr>
          <w:t xml:space="preserve"> G, </w:t>
        </w:r>
        <w:proofErr w:type="spellStart"/>
        <w:r w:rsidR="00ED4C45" w:rsidRPr="007D03ED">
          <w:rPr>
            <w:rStyle w:val="Hyperlink"/>
            <w:rFonts w:ascii="Times New Roman" w:hAnsi="Times New Roman" w:cs="Times New Roman"/>
            <w:sz w:val="20"/>
            <w:szCs w:val="20"/>
            <w:u w:val="none"/>
          </w:rPr>
          <w:t>Markaki</w:t>
        </w:r>
        <w:proofErr w:type="spellEnd"/>
        <w:r w:rsidR="00ED4C45" w:rsidRPr="007D03ED">
          <w:rPr>
            <w:rStyle w:val="Hyperlink"/>
            <w:rFonts w:ascii="Times New Roman" w:hAnsi="Times New Roman" w:cs="Times New Roman"/>
            <w:sz w:val="20"/>
            <w:szCs w:val="20"/>
            <w:u w:val="none"/>
          </w:rPr>
          <w:t xml:space="preserve"> V, </w:t>
        </w:r>
        <w:proofErr w:type="spellStart"/>
        <w:r w:rsidR="00ED4C45" w:rsidRPr="007D03ED">
          <w:rPr>
            <w:rStyle w:val="Hyperlink"/>
            <w:rFonts w:ascii="Times New Roman" w:hAnsi="Times New Roman" w:cs="Times New Roman"/>
            <w:sz w:val="20"/>
            <w:szCs w:val="20"/>
            <w:u w:val="none"/>
          </w:rPr>
          <w:t>Georgopoulos</w:t>
        </w:r>
        <w:proofErr w:type="spellEnd"/>
        <w:r w:rsidR="00ED4C45" w:rsidRPr="007D03ED">
          <w:rPr>
            <w:rStyle w:val="Hyperlink"/>
            <w:rFonts w:ascii="Times New Roman" w:hAnsi="Times New Roman" w:cs="Times New Roman"/>
            <w:sz w:val="20"/>
            <w:szCs w:val="20"/>
            <w:u w:val="none"/>
          </w:rPr>
          <w:t xml:space="preserve"> V, et al. (2016) </w:t>
        </w:r>
        <w:proofErr w:type="spellStart"/>
        <w:r w:rsidR="00ED4C45" w:rsidRPr="007D03ED">
          <w:rPr>
            <w:rStyle w:val="Hyperlink"/>
            <w:rFonts w:ascii="Times New Roman" w:hAnsi="Times New Roman" w:cs="Times New Roman"/>
            <w:sz w:val="20"/>
            <w:szCs w:val="20"/>
            <w:u w:val="none"/>
          </w:rPr>
          <w:t>Postextubation</w:t>
        </w:r>
        <w:proofErr w:type="spellEnd"/>
        <w:r w:rsidR="00ED4C45" w:rsidRPr="007D03ED">
          <w:rPr>
            <w:rStyle w:val="Hyperlink"/>
            <w:rFonts w:ascii="Times New Roman" w:hAnsi="Times New Roman" w:cs="Times New Roman"/>
            <w:sz w:val="20"/>
            <w:szCs w:val="20"/>
            <w:u w:val="none"/>
          </w:rPr>
          <w:t xml:space="preserve"> dysphagia in critical patients: A first report from the largest </w:t>
        </w:r>
        <w:r w:rsidR="00ED4C45" w:rsidRPr="007D03ED">
          <w:rPr>
            <w:rStyle w:val="Hyperlink"/>
            <w:rFonts w:ascii="Times New Roman" w:hAnsi="Times New Roman" w:cs="Times New Roman"/>
            <w:sz w:val="20"/>
            <w:szCs w:val="20"/>
            <w:u w:val="none"/>
          </w:rPr>
          <w:tab/>
          <w:t>step-down intensive care unit in Greece. American Journal of Speech-Language Pathology 25: 15-156.</w:t>
        </w:r>
      </w:hyperlink>
    </w:p>
    <w:p w14:paraId="7DF29DDD" w14:textId="77777777" w:rsidR="00ED4C45" w:rsidRPr="007D03ED" w:rsidRDefault="00E96E69" w:rsidP="00ED4C45">
      <w:pPr>
        <w:pStyle w:val="ListParagraph"/>
        <w:numPr>
          <w:ilvl w:val="0"/>
          <w:numId w:val="24"/>
        </w:numPr>
        <w:spacing w:after="0" w:line="240" w:lineRule="auto"/>
        <w:mirrorIndents/>
        <w:jc w:val="both"/>
        <w:rPr>
          <w:rFonts w:ascii="Times New Roman" w:hAnsi="Times New Roman" w:cs="Times New Roman"/>
          <w:sz w:val="20"/>
          <w:szCs w:val="20"/>
        </w:rPr>
      </w:pPr>
      <w:hyperlink r:id="rId23" w:history="1">
        <w:r w:rsidR="00ED4C45" w:rsidRPr="007D03ED">
          <w:rPr>
            <w:rStyle w:val="Hyperlink"/>
            <w:rFonts w:ascii="Times New Roman" w:hAnsi="Times New Roman" w:cs="Times New Roman"/>
            <w:sz w:val="20"/>
            <w:szCs w:val="20"/>
            <w:u w:val="none"/>
          </w:rPr>
          <w:t xml:space="preserve">Marvin S, </w:t>
        </w:r>
        <w:proofErr w:type="spellStart"/>
        <w:r w:rsidR="00ED4C45" w:rsidRPr="007D03ED">
          <w:rPr>
            <w:rStyle w:val="Hyperlink"/>
            <w:rFonts w:ascii="Times New Roman" w:hAnsi="Times New Roman" w:cs="Times New Roman"/>
            <w:sz w:val="20"/>
            <w:szCs w:val="20"/>
            <w:u w:val="none"/>
          </w:rPr>
          <w:t>Thibeault</w:t>
        </w:r>
        <w:proofErr w:type="spellEnd"/>
        <w:r w:rsidR="00ED4C45" w:rsidRPr="007D03ED">
          <w:rPr>
            <w:rStyle w:val="Hyperlink"/>
            <w:rFonts w:ascii="Times New Roman" w:hAnsi="Times New Roman" w:cs="Times New Roman"/>
            <w:sz w:val="20"/>
            <w:szCs w:val="20"/>
            <w:u w:val="none"/>
          </w:rPr>
          <w:t xml:space="preserve"> S, </w:t>
        </w:r>
        <w:proofErr w:type="spellStart"/>
        <w:r w:rsidR="00ED4C45" w:rsidRPr="007D03ED">
          <w:rPr>
            <w:rStyle w:val="Hyperlink"/>
            <w:rFonts w:ascii="Times New Roman" w:hAnsi="Times New Roman" w:cs="Times New Roman"/>
            <w:sz w:val="20"/>
            <w:szCs w:val="20"/>
            <w:u w:val="none"/>
          </w:rPr>
          <w:t>Ehlenbach</w:t>
        </w:r>
        <w:proofErr w:type="spellEnd"/>
        <w:r w:rsidR="00ED4C45" w:rsidRPr="007D03ED">
          <w:rPr>
            <w:rStyle w:val="Hyperlink"/>
            <w:rFonts w:ascii="Times New Roman" w:hAnsi="Times New Roman" w:cs="Times New Roman"/>
            <w:sz w:val="20"/>
            <w:szCs w:val="20"/>
            <w:u w:val="none"/>
          </w:rPr>
          <w:t xml:space="preserve"> W (2019) Post-</w:t>
        </w:r>
        <w:proofErr w:type="spellStart"/>
        <w:r w:rsidR="00ED4C45" w:rsidRPr="007D03ED">
          <w:rPr>
            <w:rStyle w:val="Hyperlink"/>
            <w:rFonts w:ascii="Times New Roman" w:hAnsi="Times New Roman" w:cs="Times New Roman"/>
            <w:sz w:val="20"/>
            <w:szCs w:val="20"/>
            <w:u w:val="none"/>
          </w:rPr>
          <w:t>extubation</w:t>
        </w:r>
        <w:proofErr w:type="spellEnd"/>
        <w:r w:rsidR="00ED4C45" w:rsidRPr="007D03ED">
          <w:rPr>
            <w:rStyle w:val="Hyperlink"/>
            <w:rFonts w:ascii="Times New Roman" w:hAnsi="Times New Roman" w:cs="Times New Roman"/>
            <w:sz w:val="20"/>
            <w:szCs w:val="20"/>
            <w:u w:val="none"/>
          </w:rPr>
          <w:t xml:space="preserve"> dysphagia: Does timing of evaluation matter? Dysphagia 34: 210-219.</w:t>
        </w:r>
      </w:hyperlink>
    </w:p>
    <w:p w14:paraId="5F9F15CE" w14:textId="77777777" w:rsidR="00ED4C45" w:rsidRPr="007D03ED" w:rsidRDefault="00E96E69" w:rsidP="00ED4C45">
      <w:pPr>
        <w:pStyle w:val="ListParagraph"/>
        <w:numPr>
          <w:ilvl w:val="0"/>
          <w:numId w:val="24"/>
        </w:numPr>
        <w:spacing w:after="0" w:line="240" w:lineRule="auto"/>
        <w:mirrorIndents/>
        <w:jc w:val="both"/>
        <w:rPr>
          <w:rFonts w:ascii="Times New Roman" w:hAnsi="Times New Roman" w:cs="Times New Roman"/>
          <w:sz w:val="20"/>
          <w:szCs w:val="20"/>
        </w:rPr>
      </w:pPr>
      <w:hyperlink r:id="rId24" w:history="1">
        <w:proofErr w:type="spellStart"/>
        <w:r w:rsidR="00ED4C45" w:rsidRPr="007D03ED">
          <w:rPr>
            <w:rStyle w:val="Hyperlink"/>
            <w:rFonts w:ascii="Times New Roman" w:hAnsi="Times New Roman" w:cs="Times New Roman"/>
            <w:sz w:val="20"/>
            <w:szCs w:val="20"/>
            <w:u w:val="none"/>
          </w:rPr>
          <w:t>Scheel</w:t>
        </w:r>
        <w:proofErr w:type="spellEnd"/>
        <w:r w:rsidR="00ED4C45" w:rsidRPr="007D03ED">
          <w:rPr>
            <w:rStyle w:val="Hyperlink"/>
            <w:rFonts w:ascii="Times New Roman" w:hAnsi="Times New Roman" w:cs="Times New Roman"/>
            <w:sz w:val="20"/>
            <w:szCs w:val="20"/>
            <w:u w:val="none"/>
          </w:rPr>
          <w:t xml:space="preserve"> R, </w:t>
        </w:r>
        <w:proofErr w:type="spellStart"/>
        <w:r w:rsidR="00ED4C45" w:rsidRPr="007D03ED">
          <w:rPr>
            <w:rStyle w:val="Hyperlink"/>
            <w:rFonts w:ascii="Times New Roman" w:hAnsi="Times New Roman" w:cs="Times New Roman"/>
            <w:sz w:val="20"/>
            <w:szCs w:val="20"/>
            <w:u w:val="none"/>
          </w:rPr>
          <w:t>Pisegna</w:t>
        </w:r>
        <w:proofErr w:type="spellEnd"/>
        <w:r w:rsidR="00ED4C45" w:rsidRPr="007D03ED">
          <w:rPr>
            <w:rStyle w:val="Hyperlink"/>
            <w:rFonts w:ascii="Times New Roman" w:hAnsi="Times New Roman" w:cs="Times New Roman"/>
            <w:sz w:val="20"/>
            <w:szCs w:val="20"/>
            <w:u w:val="none"/>
          </w:rPr>
          <w:t xml:space="preserve"> J, McNally E, et al. (2016) Endoscopic assessment of swallowing after prolonged intubation in the ICU setting. Annals of Otology, Rhinology &amp; Laryngology 125: 43-52.</w:t>
        </w:r>
      </w:hyperlink>
      <w:r w:rsidR="00ED4C45" w:rsidRPr="007D03ED">
        <w:rPr>
          <w:rFonts w:ascii="Times New Roman" w:hAnsi="Times New Roman" w:cs="Times New Roman"/>
          <w:sz w:val="20"/>
          <w:szCs w:val="20"/>
        </w:rPr>
        <w:t xml:space="preserve"> </w:t>
      </w:r>
    </w:p>
    <w:p w14:paraId="751456AD" w14:textId="77777777" w:rsidR="00ED4C45" w:rsidRPr="007D03ED" w:rsidRDefault="00E96E69" w:rsidP="00ED4C45">
      <w:pPr>
        <w:pStyle w:val="ListParagraph"/>
        <w:numPr>
          <w:ilvl w:val="0"/>
          <w:numId w:val="24"/>
        </w:numPr>
        <w:spacing w:after="0" w:line="240" w:lineRule="auto"/>
        <w:mirrorIndents/>
        <w:jc w:val="both"/>
        <w:rPr>
          <w:rFonts w:ascii="Times New Roman" w:hAnsi="Times New Roman" w:cs="Times New Roman"/>
          <w:sz w:val="20"/>
          <w:szCs w:val="20"/>
        </w:rPr>
      </w:pPr>
      <w:hyperlink r:id="rId25" w:history="1">
        <w:proofErr w:type="spellStart"/>
        <w:r w:rsidR="00ED4C45" w:rsidRPr="007D03ED">
          <w:rPr>
            <w:rStyle w:val="Hyperlink"/>
            <w:rFonts w:ascii="Times New Roman" w:hAnsi="Times New Roman" w:cs="Times New Roman"/>
            <w:sz w:val="20"/>
            <w:szCs w:val="20"/>
            <w:u w:val="none"/>
          </w:rPr>
          <w:t>Solh</w:t>
        </w:r>
        <w:proofErr w:type="spellEnd"/>
        <w:r w:rsidR="00ED4C45" w:rsidRPr="007D03ED">
          <w:rPr>
            <w:rStyle w:val="Hyperlink"/>
            <w:rFonts w:ascii="Times New Roman" w:hAnsi="Times New Roman" w:cs="Times New Roman"/>
            <w:sz w:val="20"/>
            <w:szCs w:val="20"/>
            <w:u w:val="none"/>
          </w:rPr>
          <w:t xml:space="preserve"> A, </w:t>
        </w:r>
        <w:proofErr w:type="spellStart"/>
        <w:r w:rsidR="00ED4C45" w:rsidRPr="007D03ED">
          <w:rPr>
            <w:rStyle w:val="Hyperlink"/>
            <w:rFonts w:ascii="Times New Roman" w:hAnsi="Times New Roman" w:cs="Times New Roman"/>
            <w:sz w:val="20"/>
            <w:szCs w:val="20"/>
            <w:u w:val="none"/>
          </w:rPr>
          <w:t>Okeda</w:t>
        </w:r>
        <w:proofErr w:type="spellEnd"/>
        <w:r w:rsidR="00ED4C45" w:rsidRPr="007D03ED">
          <w:rPr>
            <w:rStyle w:val="Hyperlink"/>
            <w:rFonts w:ascii="Times New Roman" w:hAnsi="Times New Roman" w:cs="Times New Roman"/>
            <w:sz w:val="20"/>
            <w:szCs w:val="20"/>
            <w:u w:val="none"/>
          </w:rPr>
          <w:t xml:space="preserve"> M, Bhat A, et al. (2003) Swallowing disorders post </w:t>
        </w:r>
        <w:proofErr w:type="spellStart"/>
        <w:r w:rsidR="00ED4C45" w:rsidRPr="007D03ED">
          <w:rPr>
            <w:rStyle w:val="Hyperlink"/>
            <w:rFonts w:ascii="Times New Roman" w:hAnsi="Times New Roman" w:cs="Times New Roman"/>
            <w:sz w:val="20"/>
            <w:szCs w:val="20"/>
            <w:u w:val="none"/>
          </w:rPr>
          <w:t>orotracheal</w:t>
        </w:r>
        <w:proofErr w:type="spellEnd"/>
        <w:r w:rsidR="00ED4C45" w:rsidRPr="007D03ED">
          <w:rPr>
            <w:rStyle w:val="Hyperlink"/>
            <w:rFonts w:ascii="Times New Roman" w:hAnsi="Times New Roman" w:cs="Times New Roman"/>
            <w:sz w:val="20"/>
            <w:szCs w:val="20"/>
            <w:u w:val="none"/>
          </w:rPr>
          <w:t xml:space="preserve"> intubation in the elderly. Intensive Care Med 29: 1451-1455.</w:t>
        </w:r>
      </w:hyperlink>
    </w:p>
    <w:p w14:paraId="284E18B2" w14:textId="77777777" w:rsidR="00ED4C45" w:rsidRPr="007D03ED" w:rsidRDefault="00E96E69" w:rsidP="00ED4C45">
      <w:pPr>
        <w:pStyle w:val="ListParagraph"/>
        <w:numPr>
          <w:ilvl w:val="0"/>
          <w:numId w:val="24"/>
        </w:numPr>
        <w:spacing w:after="0" w:line="240" w:lineRule="auto"/>
        <w:mirrorIndents/>
        <w:jc w:val="both"/>
        <w:rPr>
          <w:rFonts w:ascii="Times New Roman" w:hAnsi="Times New Roman" w:cs="Times New Roman"/>
          <w:sz w:val="20"/>
          <w:szCs w:val="20"/>
        </w:rPr>
      </w:pPr>
      <w:hyperlink r:id="rId26" w:history="1">
        <w:r w:rsidR="00ED4C45" w:rsidRPr="007D03ED">
          <w:rPr>
            <w:rStyle w:val="Hyperlink"/>
            <w:rFonts w:ascii="Times New Roman" w:hAnsi="Times New Roman" w:cs="Times New Roman"/>
            <w:sz w:val="20"/>
            <w:szCs w:val="20"/>
            <w:u w:val="none"/>
          </w:rPr>
          <w:t xml:space="preserve">Shaker R, Ren J, </w:t>
        </w:r>
        <w:proofErr w:type="spellStart"/>
        <w:r w:rsidR="00ED4C45" w:rsidRPr="007D03ED">
          <w:rPr>
            <w:rStyle w:val="Hyperlink"/>
            <w:rFonts w:ascii="Times New Roman" w:hAnsi="Times New Roman" w:cs="Times New Roman"/>
            <w:sz w:val="20"/>
            <w:szCs w:val="20"/>
            <w:u w:val="none"/>
          </w:rPr>
          <w:t>Bardan</w:t>
        </w:r>
        <w:proofErr w:type="spellEnd"/>
        <w:r w:rsidR="00ED4C45" w:rsidRPr="007D03ED">
          <w:rPr>
            <w:rStyle w:val="Hyperlink"/>
            <w:rFonts w:ascii="Times New Roman" w:hAnsi="Times New Roman" w:cs="Times New Roman"/>
            <w:sz w:val="20"/>
            <w:szCs w:val="20"/>
            <w:u w:val="none"/>
          </w:rPr>
          <w:t xml:space="preserve"> E, et al. (2003) </w:t>
        </w:r>
        <w:proofErr w:type="spellStart"/>
        <w:r w:rsidR="00ED4C45" w:rsidRPr="007D03ED">
          <w:rPr>
            <w:rStyle w:val="Hyperlink"/>
            <w:rFonts w:ascii="Times New Roman" w:hAnsi="Times New Roman" w:cs="Times New Roman"/>
            <w:sz w:val="20"/>
            <w:szCs w:val="20"/>
            <w:u w:val="none"/>
          </w:rPr>
          <w:t>Pharyngoglottal</w:t>
        </w:r>
        <w:proofErr w:type="spellEnd"/>
        <w:r w:rsidR="00ED4C45" w:rsidRPr="007D03ED">
          <w:rPr>
            <w:rStyle w:val="Hyperlink"/>
            <w:rFonts w:ascii="Times New Roman" w:hAnsi="Times New Roman" w:cs="Times New Roman"/>
            <w:sz w:val="20"/>
            <w:szCs w:val="20"/>
            <w:u w:val="none"/>
          </w:rPr>
          <w:t xml:space="preserve"> closure reflex: Characterization in healthy young, elderly </w:t>
        </w:r>
        <w:proofErr w:type="gramStart"/>
        <w:r w:rsidR="00ED4C45" w:rsidRPr="007D03ED">
          <w:rPr>
            <w:rStyle w:val="Hyperlink"/>
            <w:rFonts w:ascii="Times New Roman" w:hAnsi="Times New Roman" w:cs="Times New Roman"/>
            <w:sz w:val="20"/>
            <w:szCs w:val="20"/>
            <w:u w:val="none"/>
          </w:rPr>
          <w:t>an</w:t>
        </w:r>
        <w:proofErr w:type="gramEnd"/>
        <w:r w:rsidR="00ED4C45" w:rsidRPr="007D03ED">
          <w:rPr>
            <w:rStyle w:val="Hyperlink"/>
            <w:rFonts w:ascii="Times New Roman" w:hAnsi="Times New Roman" w:cs="Times New Roman"/>
            <w:sz w:val="20"/>
            <w:szCs w:val="20"/>
            <w:u w:val="none"/>
          </w:rPr>
          <w:t xml:space="preserve"> </w:t>
        </w:r>
        <w:proofErr w:type="spellStart"/>
        <w:r w:rsidR="00ED4C45" w:rsidRPr="007D03ED">
          <w:rPr>
            <w:rStyle w:val="Hyperlink"/>
            <w:rFonts w:ascii="Times New Roman" w:hAnsi="Times New Roman" w:cs="Times New Roman"/>
            <w:sz w:val="20"/>
            <w:szCs w:val="20"/>
            <w:u w:val="none"/>
          </w:rPr>
          <w:t>dysphagic</w:t>
        </w:r>
        <w:proofErr w:type="spellEnd"/>
        <w:r w:rsidR="00ED4C45" w:rsidRPr="007D03ED">
          <w:rPr>
            <w:rStyle w:val="Hyperlink"/>
            <w:rFonts w:ascii="Times New Roman" w:hAnsi="Times New Roman" w:cs="Times New Roman"/>
            <w:sz w:val="20"/>
            <w:szCs w:val="20"/>
            <w:u w:val="none"/>
          </w:rPr>
          <w:t xml:space="preserve"> with </w:t>
        </w:r>
        <w:proofErr w:type="spellStart"/>
        <w:r w:rsidR="00ED4C45" w:rsidRPr="007D03ED">
          <w:rPr>
            <w:rStyle w:val="Hyperlink"/>
            <w:rFonts w:ascii="Times New Roman" w:hAnsi="Times New Roman" w:cs="Times New Roman"/>
            <w:sz w:val="20"/>
            <w:szCs w:val="20"/>
            <w:u w:val="none"/>
          </w:rPr>
          <w:t>predeglutitive</w:t>
        </w:r>
        <w:proofErr w:type="spellEnd"/>
        <w:r w:rsidR="00ED4C45" w:rsidRPr="007D03ED">
          <w:rPr>
            <w:rStyle w:val="Hyperlink"/>
            <w:rFonts w:ascii="Times New Roman" w:hAnsi="Times New Roman" w:cs="Times New Roman"/>
            <w:sz w:val="20"/>
            <w:szCs w:val="20"/>
            <w:u w:val="none"/>
          </w:rPr>
          <w:t xml:space="preserve"> aspiration. Gerontology 49: 12-20.</w:t>
        </w:r>
      </w:hyperlink>
    </w:p>
    <w:p w14:paraId="5716233A" w14:textId="77777777" w:rsidR="00ED4C45" w:rsidRPr="007D03ED" w:rsidRDefault="00E96E69" w:rsidP="00ED4C45">
      <w:pPr>
        <w:pStyle w:val="ListParagraph"/>
        <w:numPr>
          <w:ilvl w:val="0"/>
          <w:numId w:val="24"/>
        </w:numPr>
        <w:spacing w:after="0" w:line="240" w:lineRule="auto"/>
        <w:mirrorIndents/>
        <w:jc w:val="both"/>
        <w:rPr>
          <w:rFonts w:ascii="Times New Roman" w:hAnsi="Times New Roman" w:cs="Times New Roman"/>
          <w:sz w:val="20"/>
          <w:szCs w:val="20"/>
        </w:rPr>
      </w:pPr>
      <w:hyperlink r:id="rId27" w:history="1">
        <w:proofErr w:type="spellStart"/>
        <w:r w:rsidR="00ED4C45" w:rsidRPr="007D03ED">
          <w:rPr>
            <w:rStyle w:val="Hyperlink"/>
            <w:rFonts w:ascii="Times New Roman" w:hAnsi="Times New Roman" w:cs="Times New Roman"/>
            <w:sz w:val="20"/>
            <w:szCs w:val="20"/>
            <w:u w:val="none"/>
          </w:rPr>
          <w:t>Cichero</w:t>
        </w:r>
        <w:proofErr w:type="spellEnd"/>
        <w:r w:rsidR="00ED4C45" w:rsidRPr="007D03ED">
          <w:rPr>
            <w:rStyle w:val="Hyperlink"/>
            <w:rFonts w:ascii="Times New Roman" w:hAnsi="Times New Roman" w:cs="Times New Roman"/>
            <w:sz w:val="20"/>
            <w:szCs w:val="20"/>
            <w:u w:val="none"/>
          </w:rPr>
          <w:t xml:space="preserve"> J (2018) Age-related changes to eating and swallowing impact frailty: Aspiration, choking risk, modified food texture and autonomy of choice. Geriatrics 3: 69.</w:t>
        </w:r>
      </w:hyperlink>
    </w:p>
    <w:p w14:paraId="07525B9D" w14:textId="77777777" w:rsidR="00ED4C45" w:rsidRPr="007D03ED" w:rsidRDefault="00E96E69" w:rsidP="00ED4C45">
      <w:pPr>
        <w:pStyle w:val="ListParagraph"/>
        <w:numPr>
          <w:ilvl w:val="0"/>
          <w:numId w:val="24"/>
        </w:numPr>
        <w:spacing w:after="0" w:line="240" w:lineRule="auto"/>
        <w:mirrorIndents/>
        <w:jc w:val="both"/>
        <w:rPr>
          <w:rStyle w:val="Hyperlink"/>
          <w:rFonts w:ascii="Times New Roman" w:hAnsi="Times New Roman" w:cs="Times New Roman"/>
          <w:b/>
          <w:bCs/>
          <w:color w:val="auto"/>
          <w:sz w:val="20"/>
          <w:szCs w:val="20"/>
          <w:u w:val="none"/>
        </w:rPr>
      </w:pPr>
      <w:hyperlink r:id="rId28" w:history="1">
        <w:proofErr w:type="spellStart"/>
        <w:r w:rsidR="00ED4C45" w:rsidRPr="007D03ED">
          <w:rPr>
            <w:rStyle w:val="Hyperlink"/>
            <w:rFonts w:ascii="Times New Roman" w:hAnsi="Times New Roman" w:cs="Times New Roman"/>
            <w:sz w:val="20"/>
            <w:szCs w:val="20"/>
            <w:u w:val="none"/>
          </w:rPr>
          <w:t>Fujishima</w:t>
        </w:r>
        <w:proofErr w:type="spellEnd"/>
        <w:r w:rsidR="00ED4C45" w:rsidRPr="007D03ED">
          <w:rPr>
            <w:rStyle w:val="Hyperlink"/>
            <w:rFonts w:ascii="Times New Roman" w:hAnsi="Times New Roman" w:cs="Times New Roman"/>
            <w:sz w:val="20"/>
            <w:szCs w:val="20"/>
            <w:u w:val="none"/>
          </w:rPr>
          <w:t xml:space="preserve"> I, </w:t>
        </w:r>
        <w:proofErr w:type="spellStart"/>
        <w:r w:rsidR="00ED4C45" w:rsidRPr="007D03ED">
          <w:rPr>
            <w:rStyle w:val="Hyperlink"/>
            <w:rFonts w:ascii="Times New Roman" w:hAnsi="Times New Roman" w:cs="Times New Roman"/>
            <w:sz w:val="20"/>
            <w:szCs w:val="20"/>
            <w:u w:val="none"/>
          </w:rPr>
          <w:t>Fujiu-Kurachi</w:t>
        </w:r>
        <w:proofErr w:type="spellEnd"/>
        <w:r w:rsidR="00ED4C45" w:rsidRPr="007D03ED">
          <w:rPr>
            <w:rStyle w:val="Hyperlink"/>
            <w:rFonts w:ascii="Times New Roman" w:hAnsi="Times New Roman" w:cs="Times New Roman"/>
            <w:sz w:val="20"/>
            <w:szCs w:val="20"/>
            <w:u w:val="none"/>
          </w:rPr>
          <w:t xml:space="preserve"> M, Arai H, et al. (2019) </w:t>
        </w:r>
        <w:proofErr w:type="spellStart"/>
        <w:r w:rsidR="00ED4C45" w:rsidRPr="007D03ED">
          <w:rPr>
            <w:rStyle w:val="Hyperlink"/>
            <w:rFonts w:ascii="Times New Roman" w:hAnsi="Times New Roman" w:cs="Times New Roman"/>
            <w:sz w:val="20"/>
            <w:szCs w:val="20"/>
            <w:u w:val="none"/>
          </w:rPr>
          <w:t>Sarcopenia</w:t>
        </w:r>
        <w:proofErr w:type="spellEnd"/>
        <w:r w:rsidR="00ED4C45" w:rsidRPr="007D03ED">
          <w:rPr>
            <w:rStyle w:val="Hyperlink"/>
            <w:rFonts w:ascii="Times New Roman" w:hAnsi="Times New Roman" w:cs="Times New Roman"/>
            <w:sz w:val="20"/>
            <w:szCs w:val="20"/>
            <w:u w:val="none"/>
          </w:rPr>
          <w:t xml:space="preserve"> and dysphagia: Position paper of four professional organizations. Geriatrics and Gerontology International 19: 91-97.</w:t>
        </w:r>
      </w:hyperlink>
    </w:p>
    <w:p w14:paraId="7D914CF4" w14:textId="77777777" w:rsidR="00ED4C45" w:rsidRPr="007D03ED" w:rsidRDefault="00E96E69" w:rsidP="00ED4C45">
      <w:pPr>
        <w:pStyle w:val="ListParagraph"/>
        <w:numPr>
          <w:ilvl w:val="0"/>
          <w:numId w:val="24"/>
        </w:numPr>
        <w:spacing w:after="0" w:line="240" w:lineRule="auto"/>
        <w:mirrorIndents/>
        <w:jc w:val="both"/>
        <w:rPr>
          <w:rFonts w:ascii="Times New Roman" w:hAnsi="Times New Roman" w:cs="Times New Roman"/>
          <w:sz w:val="20"/>
          <w:szCs w:val="20"/>
        </w:rPr>
      </w:pPr>
      <w:hyperlink r:id="rId29" w:history="1">
        <w:proofErr w:type="spellStart"/>
        <w:r w:rsidR="00ED4C45" w:rsidRPr="007D03ED">
          <w:rPr>
            <w:rStyle w:val="Hyperlink"/>
            <w:rFonts w:ascii="Times New Roman" w:hAnsi="Times New Roman" w:cs="Times New Roman"/>
            <w:sz w:val="20"/>
            <w:szCs w:val="20"/>
            <w:u w:val="none"/>
          </w:rPr>
          <w:t>Dellis</w:t>
        </w:r>
        <w:proofErr w:type="spellEnd"/>
        <w:r w:rsidR="00ED4C45" w:rsidRPr="007D03ED">
          <w:rPr>
            <w:rStyle w:val="Hyperlink"/>
            <w:rFonts w:ascii="Times New Roman" w:hAnsi="Times New Roman" w:cs="Times New Roman"/>
            <w:sz w:val="20"/>
            <w:szCs w:val="20"/>
            <w:u w:val="none"/>
          </w:rPr>
          <w:t xml:space="preserve"> S, </w:t>
        </w:r>
        <w:proofErr w:type="spellStart"/>
        <w:r w:rsidR="00ED4C45" w:rsidRPr="007D03ED">
          <w:rPr>
            <w:rStyle w:val="Hyperlink"/>
            <w:rFonts w:ascii="Times New Roman" w:hAnsi="Times New Roman" w:cs="Times New Roman"/>
            <w:sz w:val="20"/>
            <w:szCs w:val="20"/>
            <w:u w:val="none"/>
          </w:rPr>
          <w:t>Papadopoulou</w:t>
        </w:r>
        <w:proofErr w:type="spellEnd"/>
        <w:r w:rsidR="00ED4C45" w:rsidRPr="007D03ED">
          <w:rPr>
            <w:rStyle w:val="Hyperlink"/>
            <w:rFonts w:ascii="Times New Roman" w:hAnsi="Times New Roman" w:cs="Times New Roman"/>
            <w:sz w:val="20"/>
            <w:szCs w:val="20"/>
            <w:u w:val="none"/>
          </w:rPr>
          <w:t xml:space="preserve"> S, </w:t>
        </w:r>
        <w:proofErr w:type="spellStart"/>
        <w:r w:rsidR="00ED4C45" w:rsidRPr="007D03ED">
          <w:rPr>
            <w:rStyle w:val="Hyperlink"/>
            <w:rFonts w:ascii="Times New Roman" w:hAnsi="Times New Roman" w:cs="Times New Roman"/>
            <w:sz w:val="20"/>
            <w:szCs w:val="20"/>
            <w:u w:val="none"/>
          </w:rPr>
          <w:t>Krikonis</w:t>
        </w:r>
        <w:proofErr w:type="spellEnd"/>
        <w:r w:rsidR="00ED4C45" w:rsidRPr="007D03ED">
          <w:rPr>
            <w:rStyle w:val="Hyperlink"/>
            <w:rFonts w:ascii="Times New Roman" w:hAnsi="Times New Roman" w:cs="Times New Roman"/>
            <w:sz w:val="20"/>
            <w:szCs w:val="20"/>
            <w:u w:val="none"/>
          </w:rPr>
          <w:t xml:space="preserve"> K, et al. (2018) </w:t>
        </w:r>
        <w:proofErr w:type="spellStart"/>
        <w:r w:rsidR="00ED4C45" w:rsidRPr="007D03ED">
          <w:rPr>
            <w:rStyle w:val="Hyperlink"/>
            <w:rFonts w:ascii="Times New Roman" w:hAnsi="Times New Roman" w:cs="Times New Roman"/>
            <w:sz w:val="20"/>
            <w:szCs w:val="20"/>
            <w:u w:val="none"/>
          </w:rPr>
          <w:t>Sarcopenic</w:t>
        </w:r>
        <w:proofErr w:type="spellEnd"/>
        <w:r w:rsidR="00ED4C45" w:rsidRPr="007D03ED">
          <w:rPr>
            <w:rStyle w:val="Hyperlink"/>
            <w:rFonts w:ascii="Times New Roman" w:hAnsi="Times New Roman" w:cs="Times New Roman"/>
            <w:sz w:val="20"/>
            <w:szCs w:val="20"/>
            <w:u w:val="none"/>
          </w:rPr>
          <w:t xml:space="preserve"> Dysphagia. A Narrative review. Journal of Frailty, </w:t>
        </w:r>
        <w:proofErr w:type="spellStart"/>
        <w:r w:rsidR="00ED4C45" w:rsidRPr="007D03ED">
          <w:rPr>
            <w:rStyle w:val="Hyperlink"/>
            <w:rFonts w:ascii="Times New Roman" w:hAnsi="Times New Roman" w:cs="Times New Roman"/>
            <w:sz w:val="20"/>
            <w:szCs w:val="20"/>
            <w:u w:val="none"/>
          </w:rPr>
          <w:t>Sarcopenia</w:t>
        </w:r>
        <w:proofErr w:type="spellEnd"/>
        <w:r w:rsidR="00ED4C45" w:rsidRPr="007D03ED">
          <w:rPr>
            <w:rStyle w:val="Hyperlink"/>
            <w:rFonts w:ascii="Times New Roman" w:hAnsi="Times New Roman" w:cs="Times New Roman"/>
            <w:sz w:val="20"/>
            <w:szCs w:val="20"/>
            <w:u w:val="none"/>
          </w:rPr>
          <w:t xml:space="preserve"> &amp; Falls 3: 1-7.</w:t>
        </w:r>
      </w:hyperlink>
      <w:r w:rsidR="00ED4C45" w:rsidRPr="007D03ED">
        <w:rPr>
          <w:rFonts w:ascii="Times New Roman" w:hAnsi="Times New Roman" w:cs="Times New Roman"/>
          <w:sz w:val="20"/>
          <w:szCs w:val="20"/>
        </w:rPr>
        <w:t xml:space="preserve"> </w:t>
      </w:r>
    </w:p>
    <w:p w14:paraId="4A423250" w14:textId="77777777" w:rsidR="00ED4C45" w:rsidRPr="007D03ED" w:rsidRDefault="00E96E69" w:rsidP="00ED4C45">
      <w:pPr>
        <w:pStyle w:val="ListParagraph"/>
        <w:numPr>
          <w:ilvl w:val="0"/>
          <w:numId w:val="24"/>
        </w:numPr>
        <w:spacing w:after="0" w:line="240" w:lineRule="auto"/>
        <w:mirrorIndents/>
        <w:jc w:val="both"/>
        <w:rPr>
          <w:rFonts w:ascii="Times New Roman" w:hAnsi="Times New Roman" w:cs="Times New Roman"/>
          <w:sz w:val="20"/>
          <w:szCs w:val="20"/>
        </w:rPr>
      </w:pPr>
      <w:hyperlink r:id="rId30" w:history="1">
        <w:r w:rsidR="00ED4C45" w:rsidRPr="007D03ED">
          <w:rPr>
            <w:rStyle w:val="Hyperlink"/>
            <w:rFonts w:ascii="Times New Roman" w:hAnsi="Times New Roman" w:cs="Times New Roman"/>
            <w:sz w:val="20"/>
            <w:szCs w:val="20"/>
            <w:u w:val="none"/>
          </w:rPr>
          <w:t xml:space="preserve">Wakabayashi H, Sakuma K (2014) Rehabilitation nutrition for </w:t>
        </w:r>
        <w:proofErr w:type="spellStart"/>
        <w:r w:rsidR="00ED4C45" w:rsidRPr="007D03ED">
          <w:rPr>
            <w:rStyle w:val="Hyperlink"/>
            <w:rFonts w:ascii="Times New Roman" w:hAnsi="Times New Roman" w:cs="Times New Roman"/>
            <w:sz w:val="20"/>
            <w:szCs w:val="20"/>
            <w:u w:val="none"/>
          </w:rPr>
          <w:t>sarcopenia</w:t>
        </w:r>
        <w:proofErr w:type="spellEnd"/>
        <w:r w:rsidR="00ED4C45" w:rsidRPr="007D03ED">
          <w:rPr>
            <w:rStyle w:val="Hyperlink"/>
            <w:rFonts w:ascii="Times New Roman" w:hAnsi="Times New Roman" w:cs="Times New Roman"/>
            <w:sz w:val="20"/>
            <w:szCs w:val="20"/>
            <w:u w:val="none"/>
          </w:rPr>
          <w:t xml:space="preserve"> with disability: A combination of both rehabilitation and nutrition care management. Journal of Cachexia, </w:t>
        </w:r>
        <w:proofErr w:type="spellStart"/>
        <w:r w:rsidR="00ED4C45" w:rsidRPr="007D03ED">
          <w:rPr>
            <w:rStyle w:val="Hyperlink"/>
            <w:rFonts w:ascii="Times New Roman" w:hAnsi="Times New Roman" w:cs="Times New Roman"/>
            <w:sz w:val="20"/>
            <w:szCs w:val="20"/>
            <w:u w:val="none"/>
          </w:rPr>
          <w:t>Sarcopenia</w:t>
        </w:r>
        <w:proofErr w:type="spellEnd"/>
        <w:r w:rsidR="00ED4C45" w:rsidRPr="007D03ED">
          <w:rPr>
            <w:rStyle w:val="Hyperlink"/>
            <w:rFonts w:ascii="Times New Roman" w:hAnsi="Times New Roman" w:cs="Times New Roman"/>
            <w:sz w:val="20"/>
            <w:szCs w:val="20"/>
            <w:u w:val="none"/>
          </w:rPr>
          <w:t xml:space="preserve"> and Muscle 5: 269-277.</w:t>
        </w:r>
      </w:hyperlink>
    </w:p>
    <w:p w14:paraId="689102B3" w14:textId="77777777" w:rsidR="00ED4C45" w:rsidRPr="007D03ED" w:rsidRDefault="00E96E69" w:rsidP="00ED4C45">
      <w:pPr>
        <w:pStyle w:val="ListParagraph"/>
        <w:numPr>
          <w:ilvl w:val="0"/>
          <w:numId w:val="24"/>
        </w:numPr>
        <w:spacing w:after="0" w:line="240" w:lineRule="auto"/>
        <w:mirrorIndents/>
        <w:jc w:val="both"/>
        <w:rPr>
          <w:rFonts w:ascii="Times New Roman" w:hAnsi="Times New Roman" w:cs="Times New Roman"/>
          <w:sz w:val="20"/>
          <w:szCs w:val="20"/>
        </w:rPr>
      </w:pPr>
      <w:hyperlink r:id="rId31" w:history="1">
        <w:proofErr w:type="spellStart"/>
        <w:r w:rsidR="00ED4C45" w:rsidRPr="007D03ED">
          <w:rPr>
            <w:rStyle w:val="Hyperlink"/>
            <w:rFonts w:ascii="Times New Roman" w:hAnsi="Times New Roman" w:cs="Times New Roman"/>
            <w:sz w:val="20"/>
            <w:szCs w:val="20"/>
            <w:u w:val="none"/>
            <w:shd w:val="clear" w:color="auto" w:fill="FFFFFF"/>
          </w:rPr>
          <w:t>Shiozu</w:t>
        </w:r>
        <w:proofErr w:type="spellEnd"/>
        <w:r w:rsidR="00ED4C45" w:rsidRPr="007D03ED">
          <w:rPr>
            <w:rStyle w:val="Hyperlink"/>
            <w:rFonts w:ascii="Times New Roman" w:hAnsi="Times New Roman" w:cs="Times New Roman"/>
            <w:sz w:val="20"/>
            <w:szCs w:val="20"/>
            <w:u w:val="none"/>
            <w:shd w:val="clear" w:color="auto" w:fill="FFFFFF"/>
          </w:rPr>
          <w:t xml:space="preserve"> H, </w:t>
        </w:r>
        <w:proofErr w:type="spellStart"/>
        <w:r w:rsidR="00ED4C45" w:rsidRPr="007D03ED">
          <w:rPr>
            <w:rStyle w:val="Hyperlink"/>
            <w:rFonts w:ascii="Times New Roman" w:hAnsi="Times New Roman" w:cs="Times New Roman"/>
            <w:sz w:val="20"/>
            <w:szCs w:val="20"/>
            <w:u w:val="none"/>
            <w:shd w:val="clear" w:color="auto" w:fill="FFFFFF"/>
          </w:rPr>
          <w:t>Higashijima</w:t>
        </w:r>
        <w:proofErr w:type="spellEnd"/>
        <w:r w:rsidR="00ED4C45" w:rsidRPr="007D03ED">
          <w:rPr>
            <w:rStyle w:val="Hyperlink"/>
            <w:rFonts w:ascii="Times New Roman" w:hAnsi="Times New Roman" w:cs="Times New Roman"/>
            <w:sz w:val="20"/>
            <w:szCs w:val="20"/>
            <w:u w:val="none"/>
            <w:shd w:val="clear" w:color="auto" w:fill="FFFFFF"/>
          </w:rPr>
          <w:t xml:space="preserve"> M, Koga T (2015) Association of </w:t>
        </w:r>
        <w:proofErr w:type="spellStart"/>
        <w:r w:rsidR="00ED4C45" w:rsidRPr="007D03ED">
          <w:rPr>
            <w:rStyle w:val="Hyperlink"/>
            <w:rFonts w:ascii="Times New Roman" w:hAnsi="Times New Roman" w:cs="Times New Roman"/>
            <w:sz w:val="20"/>
            <w:szCs w:val="20"/>
            <w:u w:val="none"/>
            <w:shd w:val="clear" w:color="auto" w:fill="FFFFFF"/>
          </w:rPr>
          <w:t>sarcopenia</w:t>
        </w:r>
        <w:proofErr w:type="spellEnd"/>
        <w:r w:rsidR="00ED4C45" w:rsidRPr="007D03ED">
          <w:rPr>
            <w:rStyle w:val="Hyperlink"/>
            <w:rFonts w:ascii="Times New Roman" w:hAnsi="Times New Roman" w:cs="Times New Roman"/>
            <w:sz w:val="20"/>
            <w:szCs w:val="20"/>
            <w:u w:val="none"/>
            <w:shd w:val="clear" w:color="auto" w:fill="FFFFFF"/>
          </w:rPr>
          <w:t xml:space="preserve"> with swallowing problems, related to nutrition and activities of daily living of elderly individuals. Journal of Physical Therapy Science 27: 393-396.</w:t>
        </w:r>
      </w:hyperlink>
      <w:r w:rsidR="00ED4C45" w:rsidRPr="007D03ED">
        <w:rPr>
          <w:rFonts w:ascii="Times New Roman" w:hAnsi="Times New Roman" w:cs="Times New Roman"/>
          <w:sz w:val="20"/>
          <w:szCs w:val="20"/>
          <w:shd w:val="clear" w:color="auto" w:fill="FFFFFF"/>
        </w:rPr>
        <w:t xml:space="preserve"> </w:t>
      </w:r>
    </w:p>
    <w:p w14:paraId="1A991341" w14:textId="26ADAB2A" w:rsidR="00DD4955" w:rsidRPr="00FB6110" w:rsidRDefault="00E96E69" w:rsidP="00F0239D">
      <w:pPr>
        <w:pStyle w:val="ListParagraph"/>
        <w:numPr>
          <w:ilvl w:val="0"/>
          <w:numId w:val="24"/>
        </w:numPr>
        <w:spacing w:after="0" w:line="240" w:lineRule="auto"/>
        <w:mirrorIndents/>
        <w:jc w:val="both"/>
        <w:rPr>
          <w:rFonts w:ascii="Times New Roman" w:hAnsi="Times New Roman" w:cs="Times New Roman"/>
          <w:sz w:val="20"/>
          <w:szCs w:val="20"/>
        </w:rPr>
      </w:pPr>
      <w:hyperlink r:id="rId32" w:history="1">
        <w:r w:rsidR="00ED4C45" w:rsidRPr="00FB6110">
          <w:rPr>
            <w:rStyle w:val="Hyperlink"/>
            <w:rFonts w:ascii="Times New Roman" w:hAnsi="Times New Roman" w:cs="Times New Roman"/>
            <w:sz w:val="20"/>
            <w:szCs w:val="20"/>
            <w:u w:val="none"/>
          </w:rPr>
          <w:t>Cruz-</w:t>
        </w:r>
        <w:proofErr w:type="spellStart"/>
        <w:r w:rsidR="00ED4C45" w:rsidRPr="00FB6110">
          <w:rPr>
            <w:rStyle w:val="Hyperlink"/>
            <w:rFonts w:ascii="Times New Roman" w:hAnsi="Times New Roman" w:cs="Times New Roman"/>
            <w:sz w:val="20"/>
            <w:szCs w:val="20"/>
            <w:u w:val="none"/>
          </w:rPr>
          <w:t>Jentoft</w:t>
        </w:r>
        <w:proofErr w:type="spellEnd"/>
        <w:r w:rsidR="00ED4C45" w:rsidRPr="00FB6110">
          <w:rPr>
            <w:rStyle w:val="Hyperlink"/>
            <w:rFonts w:ascii="Times New Roman" w:hAnsi="Times New Roman" w:cs="Times New Roman"/>
            <w:sz w:val="20"/>
            <w:szCs w:val="20"/>
            <w:u w:val="none"/>
          </w:rPr>
          <w:t xml:space="preserve"> A, </w:t>
        </w:r>
        <w:proofErr w:type="spellStart"/>
        <w:r w:rsidR="00ED4C45" w:rsidRPr="00FB6110">
          <w:rPr>
            <w:rStyle w:val="Hyperlink"/>
            <w:rFonts w:ascii="Times New Roman" w:hAnsi="Times New Roman" w:cs="Times New Roman"/>
            <w:sz w:val="20"/>
            <w:szCs w:val="20"/>
            <w:u w:val="none"/>
          </w:rPr>
          <w:t>Baeyens</w:t>
        </w:r>
        <w:proofErr w:type="spellEnd"/>
        <w:r w:rsidR="00ED4C45" w:rsidRPr="00FB6110">
          <w:rPr>
            <w:rStyle w:val="Hyperlink"/>
            <w:rFonts w:ascii="Times New Roman" w:hAnsi="Times New Roman" w:cs="Times New Roman"/>
            <w:sz w:val="20"/>
            <w:szCs w:val="20"/>
            <w:u w:val="none"/>
          </w:rPr>
          <w:t xml:space="preserve"> J, Bauer J, et al. (2010) </w:t>
        </w:r>
        <w:proofErr w:type="spellStart"/>
        <w:r w:rsidR="00ED4C45" w:rsidRPr="00FB6110">
          <w:rPr>
            <w:rStyle w:val="Hyperlink"/>
            <w:rFonts w:ascii="Times New Roman" w:hAnsi="Times New Roman" w:cs="Times New Roman"/>
            <w:sz w:val="20"/>
            <w:szCs w:val="20"/>
            <w:u w:val="none"/>
          </w:rPr>
          <w:t>Sarcopenia</w:t>
        </w:r>
        <w:proofErr w:type="spellEnd"/>
        <w:r w:rsidR="00ED4C45" w:rsidRPr="00FB6110">
          <w:rPr>
            <w:rStyle w:val="Hyperlink"/>
            <w:rFonts w:ascii="Times New Roman" w:hAnsi="Times New Roman" w:cs="Times New Roman"/>
            <w:sz w:val="20"/>
            <w:szCs w:val="20"/>
            <w:u w:val="none"/>
          </w:rPr>
          <w:t xml:space="preserve">: European consensus on definition and diagnosis: Report of the European Working Group on </w:t>
        </w:r>
        <w:proofErr w:type="spellStart"/>
        <w:r w:rsidR="00ED4C45" w:rsidRPr="00FB6110">
          <w:rPr>
            <w:rStyle w:val="Hyperlink"/>
            <w:rFonts w:ascii="Times New Roman" w:hAnsi="Times New Roman" w:cs="Times New Roman"/>
            <w:sz w:val="20"/>
            <w:szCs w:val="20"/>
            <w:u w:val="none"/>
          </w:rPr>
          <w:t>Sarcopenia</w:t>
        </w:r>
        <w:proofErr w:type="spellEnd"/>
        <w:r w:rsidR="00ED4C45" w:rsidRPr="00FB6110">
          <w:rPr>
            <w:rStyle w:val="Hyperlink"/>
            <w:rFonts w:ascii="Times New Roman" w:hAnsi="Times New Roman" w:cs="Times New Roman"/>
            <w:sz w:val="20"/>
            <w:szCs w:val="20"/>
            <w:u w:val="none"/>
          </w:rPr>
          <w:t xml:space="preserve"> in Older People. Age and Ageing 39: 412-423.</w:t>
        </w:r>
      </w:hyperlink>
    </w:p>
    <w:sectPr w:rsidR="00DD4955" w:rsidRPr="00FB6110" w:rsidSect="00541A11">
      <w:headerReference w:type="default" r:id="rId33"/>
      <w:type w:val="continuous"/>
      <w:pgSz w:w="11906" w:h="16838" w:code="9"/>
      <w:pgMar w:top="1440" w:right="1440" w:bottom="1440" w:left="1440" w:header="72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86431" w14:textId="77777777" w:rsidR="00E96E69" w:rsidRDefault="00E96E69" w:rsidP="00E5175D">
      <w:r>
        <w:separator/>
      </w:r>
    </w:p>
  </w:endnote>
  <w:endnote w:type="continuationSeparator" w:id="0">
    <w:p w14:paraId="4471CD03" w14:textId="77777777" w:rsidR="00E96E69" w:rsidRDefault="00E96E69"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38A0C" w14:textId="77777777" w:rsidR="00E96E69" w:rsidRDefault="00E96E69" w:rsidP="00E5175D">
      <w:r>
        <w:separator/>
      </w:r>
    </w:p>
  </w:footnote>
  <w:footnote w:type="continuationSeparator" w:id="0">
    <w:p w14:paraId="0F4ED697" w14:textId="77777777" w:rsidR="00E96E69" w:rsidRDefault="00E96E69"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7E3B8" w14:textId="77777777" w:rsidR="004506F2" w:rsidRPr="00BA2AF4" w:rsidRDefault="004506F2" w:rsidP="00BA2AF4">
    <w:pPr>
      <w:tabs>
        <w:tab w:val="left" w:pos="7426"/>
      </w:tabs>
      <w:contextualSpacing/>
      <w:mirrorIndents/>
      <w:jc w:val="both"/>
      <w:rPr>
        <w:sz w:val="20"/>
        <w:szCs w:val="20"/>
      </w:rPr>
    </w:pPr>
    <w:r w:rsidRPr="00BA2AF4">
      <w:rPr>
        <w:noProof/>
        <w:sz w:val="20"/>
        <w:szCs w:val="20"/>
        <w:lang w:val="en-IN" w:eastAsia="en-IN"/>
      </w:rPr>
      <w:drawing>
        <wp:anchor distT="0" distB="0" distL="114300" distR="114300" simplePos="0" relativeHeight="251659264" behindDoc="0" locked="0" layoutInCell="1" allowOverlap="1" wp14:anchorId="47715DC0" wp14:editId="63265A0D">
          <wp:simplePos x="0" y="0"/>
          <wp:positionH relativeFrom="column">
            <wp:posOffset>67945</wp:posOffset>
          </wp:positionH>
          <wp:positionV relativeFrom="paragraph">
            <wp:posOffset>0</wp:posOffset>
          </wp:positionV>
          <wp:extent cx="982345" cy="797560"/>
          <wp:effectExtent l="0" t="0" r="825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6497B7D9" w14:textId="77777777" w:rsidR="004506F2" w:rsidRPr="00C80F9C" w:rsidRDefault="004506F2" w:rsidP="00BA2AF4">
    <w:pPr>
      <w:tabs>
        <w:tab w:val="left" w:pos="7426"/>
      </w:tabs>
      <w:contextualSpacing/>
      <w:mirrorIndents/>
      <w:jc w:val="both"/>
      <w:rPr>
        <w:sz w:val="22"/>
        <w:szCs w:val="22"/>
      </w:rPr>
    </w:pPr>
    <w:r w:rsidRPr="00C80F9C">
      <w:rPr>
        <w:sz w:val="22"/>
        <w:szCs w:val="22"/>
      </w:rPr>
      <w:t>Columbus Publishers</w:t>
    </w:r>
  </w:p>
  <w:p w14:paraId="2B74EDE7" w14:textId="77777777" w:rsidR="004506F2" w:rsidRPr="00C80F9C" w:rsidRDefault="004506F2" w:rsidP="00BA2AF4">
    <w:pPr>
      <w:tabs>
        <w:tab w:val="left" w:pos="7426"/>
      </w:tabs>
      <w:contextualSpacing/>
      <w:mirrorIndents/>
      <w:jc w:val="both"/>
      <w:rPr>
        <w:sz w:val="22"/>
        <w:szCs w:val="22"/>
      </w:rPr>
    </w:pPr>
    <w:r w:rsidRPr="00C80F9C">
      <w:rPr>
        <w:sz w:val="22"/>
        <w:szCs w:val="22"/>
      </w:rPr>
      <w:t>International Journal of Nursing and Health Care Science</w:t>
    </w:r>
  </w:p>
  <w:p w14:paraId="3FD78A3D" w14:textId="29A59598" w:rsidR="004506F2" w:rsidRPr="00C80F9C" w:rsidRDefault="00F009B9" w:rsidP="00BA2AF4">
    <w:pPr>
      <w:contextualSpacing/>
      <w:mirrorIndents/>
      <w:jc w:val="both"/>
      <w:rPr>
        <w:sz w:val="22"/>
        <w:szCs w:val="22"/>
      </w:rPr>
    </w:pPr>
    <w:r w:rsidRPr="00C80F9C">
      <w:rPr>
        <w:sz w:val="22"/>
        <w:szCs w:val="22"/>
      </w:rPr>
      <w:t>Volume 01: Issue 15</w:t>
    </w:r>
  </w:p>
  <w:p w14:paraId="28CF8DEB" w14:textId="5A60E7EE" w:rsidR="00D857EF" w:rsidRDefault="00D857EF" w:rsidP="00BA2AF4">
    <w:pPr>
      <w:contextualSpacing/>
      <w:mirrorIndents/>
      <w:jc w:val="both"/>
      <w:rPr>
        <w:sz w:val="20"/>
        <w:szCs w:val="20"/>
      </w:rPr>
    </w:pPr>
    <w:r w:rsidRPr="00C80F9C">
      <w:rPr>
        <w:sz w:val="22"/>
        <w:szCs w:val="22"/>
      </w:rPr>
      <w:t>Crowley C, et al.</w:t>
    </w:r>
    <w:r w:rsidR="001D2275">
      <w:rPr>
        <w:sz w:val="20"/>
        <w:szCs w:val="20"/>
      </w:rPr>
      <w:t xml:space="preserve"> </w:t>
    </w:r>
  </w:p>
  <w:p w14:paraId="52AE7AD7" w14:textId="77777777" w:rsidR="001D2275" w:rsidRPr="00BA2AF4" w:rsidRDefault="001D2275" w:rsidP="00BA2AF4">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909"/>
    <w:multiLevelType w:val="hybridMultilevel"/>
    <w:tmpl w:val="B9A8E784"/>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040AB"/>
    <w:multiLevelType w:val="hybridMultilevel"/>
    <w:tmpl w:val="258E197A"/>
    <w:lvl w:ilvl="0" w:tplc="E6B2CDD4">
      <w:numFmt w:val="bullet"/>
      <w:lvlText w:val=""/>
      <w:lvlJc w:val="left"/>
      <w:pPr>
        <w:ind w:left="829" w:hanging="360"/>
      </w:pPr>
      <w:rPr>
        <w:rFonts w:ascii="Symbol" w:eastAsia="Symbol" w:hAnsi="Symbol" w:cs="Symbol" w:hint="default"/>
        <w:color w:val="0E101A"/>
        <w:w w:val="100"/>
        <w:sz w:val="24"/>
        <w:szCs w:val="24"/>
        <w:lang w:val="en-US" w:eastAsia="en-US" w:bidi="ar-SA"/>
      </w:rPr>
    </w:lvl>
    <w:lvl w:ilvl="1" w:tplc="E7F8BA7C">
      <w:numFmt w:val="bullet"/>
      <w:lvlText w:val="•"/>
      <w:lvlJc w:val="left"/>
      <w:pPr>
        <w:ind w:left="1818" w:hanging="360"/>
      </w:pPr>
      <w:rPr>
        <w:rFonts w:hint="default"/>
        <w:lang w:val="en-US" w:eastAsia="en-US" w:bidi="ar-SA"/>
      </w:rPr>
    </w:lvl>
    <w:lvl w:ilvl="2" w:tplc="C2C6B42C">
      <w:numFmt w:val="bullet"/>
      <w:lvlText w:val="•"/>
      <w:lvlJc w:val="left"/>
      <w:pPr>
        <w:ind w:left="2816" w:hanging="360"/>
      </w:pPr>
      <w:rPr>
        <w:rFonts w:hint="default"/>
        <w:lang w:val="en-US" w:eastAsia="en-US" w:bidi="ar-SA"/>
      </w:rPr>
    </w:lvl>
    <w:lvl w:ilvl="3" w:tplc="9C2EFA5C">
      <w:numFmt w:val="bullet"/>
      <w:lvlText w:val="•"/>
      <w:lvlJc w:val="left"/>
      <w:pPr>
        <w:ind w:left="3814" w:hanging="360"/>
      </w:pPr>
      <w:rPr>
        <w:rFonts w:hint="default"/>
        <w:lang w:val="en-US" w:eastAsia="en-US" w:bidi="ar-SA"/>
      </w:rPr>
    </w:lvl>
    <w:lvl w:ilvl="4" w:tplc="52EECDD2">
      <w:numFmt w:val="bullet"/>
      <w:lvlText w:val="•"/>
      <w:lvlJc w:val="left"/>
      <w:pPr>
        <w:ind w:left="4812" w:hanging="360"/>
      </w:pPr>
      <w:rPr>
        <w:rFonts w:hint="default"/>
        <w:lang w:val="en-US" w:eastAsia="en-US" w:bidi="ar-SA"/>
      </w:rPr>
    </w:lvl>
    <w:lvl w:ilvl="5" w:tplc="955C7E48">
      <w:numFmt w:val="bullet"/>
      <w:lvlText w:val="•"/>
      <w:lvlJc w:val="left"/>
      <w:pPr>
        <w:ind w:left="5810" w:hanging="360"/>
      </w:pPr>
      <w:rPr>
        <w:rFonts w:hint="default"/>
        <w:lang w:val="en-US" w:eastAsia="en-US" w:bidi="ar-SA"/>
      </w:rPr>
    </w:lvl>
    <w:lvl w:ilvl="6" w:tplc="EE0A8F50">
      <w:numFmt w:val="bullet"/>
      <w:lvlText w:val="•"/>
      <w:lvlJc w:val="left"/>
      <w:pPr>
        <w:ind w:left="6808" w:hanging="360"/>
      </w:pPr>
      <w:rPr>
        <w:rFonts w:hint="default"/>
        <w:lang w:val="en-US" w:eastAsia="en-US" w:bidi="ar-SA"/>
      </w:rPr>
    </w:lvl>
    <w:lvl w:ilvl="7" w:tplc="97AAFFBC">
      <w:numFmt w:val="bullet"/>
      <w:lvlText w:val="•"/>
      <w:lvlJc w:val="left"/>
      <w:pPr>
        <w:ind w:left="7806" w:hanging="360"/>
      </w:pPr>
      <w:rPr>
        <w:rFonts w:hint="default"/>
        <w:lang w:val="en-US" w:eastAsia="en-US" w:bidi="ar-SA"/>
      </w:rPr>
    </w:lvl>
    <w:lvl w:ilvl="8" w:tplc="6346E300">
      <w:numFmt w:val="bullet"/>
      <w:lvlText w:val="•"/>
      <w:lvlJc w:val="left"/>
      <w:pPr>
        <w:ind w:left="8804" w:hanging="360"/>
      </w:pPr>
      <w:rPr>
        <w:rFonts w:hint="default"/>
        <w:lang w:val="en-US" w:eastAsia="en-US" w:bidi="ar-SA"/>
      </w:rPr>
    </w:lvl>
  </w:abstractNum>
  <w:abstractNum w:abstractNumId="2" w15:restartNumberingAfterBreak="0">
    <w:nsid w:val="17194DD4"/>
    <w:multiLevelType w:val="hybridMultilevel"/>
    <w:tmpl w:val="E5B61D3C"/>
    <w:lvl w:ilvl="0" w:tplc="DF2E6C24">
      <w:start w:val="1"/>
      <w:numFmt w:val="decimal"/>
      <w:lvlText w:val="%1."/>
      <w:lvlJc w:val="left"/>
      <w:pPr>
        <w:ind w:left="829" w:hanging="360"/>
      </w:pPr>
      <w:rPr>
        <w:rFonts w:hint="default"/>
        <w:w w:val="85"/>
        <w:lang w:val="en-US" w:eastAsia="en-US" w:bidi="ar-SA"/>
      </w:rPr>
    </w:lvl>
    <w:lvl w:ilvl="1" w:tplc="31F6FCA2">
      <w:numFmt w:val="bullet"/>
      <w:lvlText w:val="•"/>
      <w:lvlJc w:val="left"/>
      <w:pPr>
        <w:ind w:left="1818" w:hanging="360"/>
      </w:pPr>
      <w:rPr>
        <w:rFonts w:hint="default"/>
        <w:lang w:val="en-US" w:eastAsia="en-US" w:bidi="ar-SA"/>
      </w:rPr>
    </w:lvl>
    <w:lvl w:ilvl="2" w:tplc="75665368">
      <w:numFmt w:val="bullet"/>
      <w:lvlText w:val="•"/>
      <w:lvlJc w:val="left"/>
      <w:pPr>
        <w:ind w:left="2816" w:hanging="360"/>
      </w:pPr>
      <w:rPr>
        <w:rFonts w:hint="default"/>
        <w:lang w:val="en-US" w:eastAsia="en-US" w:bidi="ar-SA"/>
      </w:rPr>
    </w:lvl>
    <w:lvl w:ilvl="3" w:tplc="155CBDC2">
      <w:numFmt w:val="bullet"/>
      <w:lvlText w:val="•"/>
      <w:lvlJc w:val="left"/>
      <w:pPr>
        <w:ind w:left="3814" w:hanging="360"/>
      </w:pPr>
      <w:rPr>
        <w:rFonts w:hint="default"/>
        <w:lang w:val="en-US" w:eastAsia="en-US" w:bidi="ar-SA"/>
      </w:rPr>
    </w:lvl>
    <w:lvl w:ilvl="4" w:tplc="65A26D72">
      <w:numFmt w:val="bullet"/>
      <w:lvlText w:val="•"/>
      <w:lvlJc w:val="left"/>
      <w:pPr>
        <w:ind w:left="4812" w:hanging="360"/>
      </w:pPr>
      <w:rPr>
        <w:rFonts w:hint="default"/>
        <w:lang w:val="en-US" w:eastAsia="en-US" w:bidi="ar-SA"/>
      </w:rPr>
    </w:lvl>
    <w:lvl w:ilvl="5" w:tplc="16505D8E">
      <w:numFmt w:val="bullet"/>
      <w:lvlText w:val="•"/>
      <w:lvlJc w:val="left"/>
      <w:pPr>
        <w:ind w:left="5810" w:hanging="360"/>
      </w:pPr>
      <w:rPr>
        <w:rFonts w:hint="default"/>
        <w:lang w:val="en-US" w:eastAsia="en-US" w:bidi="ar-SA"/>
      </w:rPr>
    </w:lvl>
    <w:lvl w:ilvl="6" w:tplc="9306BFE6">
      <w:numFmt w:val="bullet"/>
      <w:lvlText w:val="•"/>
      <w:lvlJc w:val="left"/>
      <w:pPr>
        <w:ind w:left="6808" w:hanging="360"/>
      </w:pPr>
      <w:rPr>
        <w:rFonts w:hint="default"/>
        <w:lang w:val="en-US" w:eastAsia="en-US" w:bidi="ar-SA"/>
      </w:rPr>
    </w:lvl>
    <w:lvl w:ilvl="7" w:tplc="6AB664F6">
      <w:numFmt w:val="bullet"/>
      <w:lvlText w:val="•"/>
      <w:lvlJc w:val="left"/>
      <w:pPr>
        <w:ind w:left="7806" w:hanging="360"/>
      </w:pPr>
      <w:rPr>
        <w:rFonts w:hint="default"/>
        <w:lang w:val="en-US" w:eastAsia="en-US" w:bidi="ar-SA"/>
      </w:rPr>
    </w:lvl>
    <w:lvl w:ilvl="8" w:tplc="BE0A368E">
      <w:numFmt w:val="bullet"/>
      <w:lvlText w:val="•"/>
      <w:lvlJc w:val="left"/>
      <w:pPr>
        <w:ind w:left="8804" w:hanging="360"/>
      </w:pPr>
      <w:rPr>
        <w:rFonts w:hint="default"/>
        <w:lang w:val="en-US" w:eastAsia="en-US" w:bidi="ar-SA"/>
      </w:rPr>
    </w:lvl>
  </w:abstractNum>
  <w:abstractNum w:abstractNumId="3" w15:restartNumberingAfterBreak="0">
    <w:nsid w:val="17B77B5C"/>
    <w:multiLevelType w:val="hybridMultilevel"/>
    <w:tmpl w:val="7ECA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33D0F"/>
    <w:multiLevelType w:val="hybridMultilevel"/>
    <w:tmpl w:val="6C5C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336A1"/>
    <w:multiLevelType w:val="hybridMultilevel"/>
    <w:tmpl w:val="DA103314"/>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A0105"/>
    <w:multiLevelType w:val="hybridMultilevel"/>
    <w:tmpl w:val="8B4A2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F050C79"/>
    <w:multiLevelType w:val="hybridMultilevel"/>
    <w:tmpl w:val="4448E920"/>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6379C"/>
    <w:multiLevelType w:val="hybridMultilevel"/>
    <w:tmpl w:val="02467D04"/>
    <w:lvl w:ilvl="0" w:tplc="68AAE006">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B464D"/>
    <w:multiLevelType w:val="hybridMultilevel"/>
    <w:tmpl w:val="BCD26276"/>
    <w:lvl w:ilvl="0" w:tplc="E206B4E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A74712"/>
    <w:multiLevelType w:val="hybridMultilevel"/>
    <w:tmpl w:val="64602F58"/>
    <w:lvl w:ilvl="0" w:tplc="B640440E">
      <w:start w:val="2"/>
      <w:numFmt w:val="decimal"/>
      <w:lvlText w:val="%1."/>
      <w:lvlJc w:val="left"/>
      <w:pPr>
        <w:ind w:left="829" w:hanging="360"/>
        <w:jc w:val="right"/>
      </w:pPr>
      <w:rPr>
        <w:rFonts w:hint="default"/>
        <w:w w:val="85"/>
        <w:lang w:val="en-US" w:eastAsia="en-US" w:bidi="ar-SA"/>
      </w:rPr>
    </w:lvl>
    <w:lvl w:ilvl="1" w:tplc="610436D8">
      <w:numFmt w:val="bullet"/>
      <w:lvlText w:val="•"/>
      <w:lvlJc w:val="left"/>
      <w:pPr>
        <w:ind w:left="1818" w:hanging="360"/>
      </w:pPr>
      <w:rPr>
        <w:rFonts w:hint="default"/>
        <w:lang w:val="en-US" w:eastAsia="en-US" w:bidi="ar-SA"/>
      </w:rPr>
    </w:lvl>
    <w:lvl w:ilvl="2" w:tplc="85A20240">
      <w:numFmt w:val="bullet"/>
      <w:lvlText w:val="•"/>
      <w:lvlJc w:val="left"/>
      <w:pPr>
        <w:ind w:left="2816" w:hanging="360"/>
      </w:pPr>
      <w:rPr>
        <w:rFonts w:hint="default"/>
        <w:lang w:val="en-US" w:eastAsia="en-US" w:bidi="ar-SA"/>
      </w:rPr>
    </w:lvl>
    <w:lvl w:ilvl="3" w:tplc="8996D57A">
      <w:numFmt w:val="bullet"/>
      <w:lvlText w:val="•"/>
      <w:lvlJc w:val="left"/>
      <w:pPr>
        <w:ind w:left="3814" w:hanging="360"/>
      </w:pPr>
      <w:rPr>
        <w:rFonts w:hint="default"/>
        <w:lang w:val="en-US" w:eastAsia="en-US" w:bidi="ar-SA"/>
      </w:rPr>
    </w:lvl>
    <w:lvl w:ilvl="4" w:tplc="280261D6">
      <w:numFmt w:val="bullet"/>
      <w:lvlText w:val="•"/>
      <w:lvlJc w:val="left"/>
      <w:pPr>
        <w:ind w:left="4812" w:hanging="360"/>
      </w:pPr>
      <w:rPr>
        <w:rFonts w:hint="default"/>
        <w:lang w:val="en-US" w:eastAsia="en-US" w:bidi="ar-SA"/>
      </w:rPr>
    </w:lvl>
    <w:lvl w:ilvl="5" w:tplc="DF987630">
      <w:numFmt w:val="bullet"/>
      <w:lvlText w:val="•"/>
      <w:lvlJc w:val="left"/>
      <w:pPr>
        <w:ind w:left="5810" w:hanging="360"/>
      </w:pPr>
      <w:rPr>
        <w:rFonts w:hint="default"/>
        <w:lang w:val="en-US" w:eastAsia="en-US" w:bidi="ar-SA"/>
      </w:rPr>
    </w:lvl>
    <w:lvl w:ilvl="6" w:tplc="A93E5158">
      <w:numFmt w:val="bullet"/>
      <w:lvlText w:val="•"/>
      <w:lvlJc w:val="left"/>
      <w:pPr>
        <w:ind w:left="6808" w:hanging="360"/>
      </w:pPr>
      <w:rPr>
        <w:rFonts w:hint="default"/>
        <w:lang w:val="en-US" w:eastAsia="en-US" w:bidi="ar-SA"/>
      </w:rPr>
    </w:lvl>
    <w:lvl w:ilvl="7" w:tplc="22A8DDAA">
      <w:numFmt w:val="bullet"/>
      <w:lvlText w:val="•"/>
      <w:lvlJc w:val="left"/>
      <w:pPr>
        <w:ind w:left="7806" w:hanging="360"/>
      </w:pPr>
      <w:rPr>
        <w:rFonts w:hint="default"/>
        <w:lang w:val="en-US" w:eastAsia="en-US" w:bidi="ar-SA"/>
      </w:rPr>
    </w:lvl>
    <w:lvl w:ilvl="8" w:tplc="3F306640">
      <w:numFmt w:val="bullet"/>
      <w:lvlText w:val="•"/>
      <w:lvlJc w:val="left"/>
      <w:pPr>
        <w:ind w:left="8804" w:hanging="360"/>
      </w:pPr>
      <w:rPr>
        <w:rFonts w:hint="default"/>
        <w:lang w:val="en-US" w:eastAsia="en-US" w:bidi="ar-SA"/>
      </w:rPr>
    </w:lvl>
  </w:abstractNum>
  <w:abstractNum w:abstractNumId="11" w15:restartNumberingAfterBreak="0">
    <w:nsid w:val="4DE62CF8"/>
    <w:multiLevelType w:val="hybridMultilevel"/>
    <w:tmpl w:val="5038E140"/>
    <w:lvl w:ilvl="0" w:tplc="D340B5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F61708"/>
    <w:multiLevelType w:val="hybridMultilevel"/>
    <w:tmpl w:val="70B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F666B"/>
    <w:multiLevelType w:val="hybridMultilevel"/>
    <w:tmpl w:val="87F8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D2E6D"/>
    <w:multiLevelType w:val="hybridMultilevel"/>
    <w:tmpl w:val="95E6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F332D"/>
    <w:multiLevelType w:val="hybridMultilevel"/>
    <w:tmpl w:val="193C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0588D"/>
    <w:multiLevelType w:val="hybridMultilevel"/>
    <w:tmpl w:val="D0724B90"/>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47444"/>
    <w:multiLevelType w:val="hybridMultilevel"/>
    <w:tmpl w:val="4964DB78"/>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529DE"/>
    <w:multiLevelType w:val="hybridMultilevel"/>
    <w:tmpl w:val="C44E57BE"/>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27957"/>
    <w:multiLevelType w:val="hybridMultilevel"/>
    <w:tmpl w:val="A282C396"/>
    <w:lvl w:ilvl="0" w:tplc="F31E7CA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37760"/>
    <w:multiLevelType w:val="hybridMultilevel"/>
    <w:tmpl w:val="CC6AA844"/>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51243"/>
    <w:multiLevelType w:val="hybridMultilevel"/>
    <w:tmpl w:val="512C87E8"/>
    <w:lvl w:ilvl="0" w:tplc="36967A24">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22" w15:restartNumberingAfterBreak="0">
    <w:nsid w:val="7F83189F"/>
    <w:multiLevelType w:val="hybridMultilevel"/>
    <w:tmpl w:val="BFFEE94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3" w15:restartNumberingAfterBreak="0">
    <w:nsid w:val="7F937164"/>
    <w:multiLevelType w:val="hybridMultilevel"/>
    <w:tmpl w:val="A6DE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7"/>
  </w:num>
  <w:num w:numId="3">
    <w:abstractNumId w:val="6"/>
  </w:num>
  <w:num w:numId="4">
    <w:abstractNumId w:val="18"/>
  </w:num>
  <w:num w:numId="5">
    <w:abstractNumId w:val="5"/>
  </w:num>
  <w:num w:numId="6">
    <w:abstractNumId w:val="0"/>
  </w:num>
  <w:num w:numId="7">
    <w:abstractNumId w:val="22"/>
  </w:num>
  <w:num w:numId="8">
    <w:abstractNumId w:val="14"/>
  </w:num>
  <w:num w:numId="9">
    <w:abstractNumId w:val="4"/>
  </w:num>
  <w:num w:numId="10">
    <w:abstractNumId w:val="11"/>
  </w:num>
  <w:num w:numId="11">
    <w:abstractNumId w:val="9"/>
  </w:num>
  <w:num w:numId="12">
    <w:abstractNumId w:val="13"/>
  </w:num>
  <w:num w:numId="13">
    <w:abstractNumId w:val="21"/>
  </w:num>
  <w:num w:numId="14">
    <w:abstractNumId w:val="16"/>
  </w:num>
  <w:num w:numId="15">
    <w:abstractNumId w:val="17"/>
  </w:num>
  <w:num w:numId="16">
    <w:abstractNumId w:val="10"/>
  </w:num>
  <w:num w:numId="17">
    <w:abstractNumId w:val="2"/>
  </w:num>
  <w:num w:numId="18">
    <w:abstractNumId w:val="1"/>
  </w:num>
  <w:num w:numId="19">
    <w:abstractNumId w:val="15"/>
  </w:num>
  <w:num w:numId="20">
    <w:abstractNumId w:val="23"/>
  </w:num>
  <w:num w:numId="21">
    <w:abstractNumId w:val="3"/>
  </w:num>
  <w:num w:numId="22">
    <w:abstractNumId w:val="12"/>
  </w:num>
  <w:num w:numId="23">
    <w:abstractNumId w:val="8"/>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172C"/>
    <w:rsid w:val="00001B7F"/>
    <w:rsid w:val="0000312F"/>
    <w:rsid w:val="00005CA8"/>
    <w:rsid w:val="00011126"/>
    <w:rsid w:val="000221C0"/>
    <w:rsid w:val="00024803"/>
    <w:rsid w:val="00024F6F"/>
    <w:rsid w:val="00025AC0"/>
    <w:rsid w:val="00031207"/>
    <w:rsid w:val="00031774"/>
    <w:rsid w:val="0003245B"/>
    <w:rsid w:val="00040407"/>
    <w:rsid w:val="0004063E"/>
    <w:rsid w:val="00040C34"/>
    <w:rsid w:val="000433F3"/>
    <w:rsid w:val="00043514"/>
    <w:rsid w:val="000455CA"/>
    <w:rsid w:val="00045A0C"/>
    <w:rsid w:val="0004678F"/>
    <w:rsid w:val="00050674"/>
    <w:rsid w:val="00052E13"/>
    <w:rsid w:val="00053DEC"/>
    <w:rsid w:val="00055E43"/>
    <w:rsid w:val="0006281B"/>
    <w:rsid w:val="00063492"/>
    <w:rsid w:val="00064865"/>
    <w:rsid w:val="00064A68"/>
    <w:rsid w:val="000651D9"/>
    <w:rsid w:val="00066AE9"/>
    <w:rsid w:val="0007095B"/>
    <w:rsid w:val="00070E1D"/>
    <w:rsid w:val="00071F33"/>
    <w:rsid w:val="000724F8"/>
    <w:rsid w:val="000736F9"/>
    <w:rsid w:val="00076047"/>
    <w:rsid w:val="00076F21"/>
    <w:rsid w:val="000803B8"/>
    <w:rsid w:val="000809FD"/>
    <w:rsid w:val="00080F6B"/>
    <w:rsid w:val="00083F7E"/>
    <w:rsid w:val="00087E57"/>
    <w:rsid w:val="000938B6"/>
    <w:rsid w:val="00093E90"/>
    <w:rsid w:val="00094ED8"/>
    <w:rsid w:val="0009607C"/>
    <w:rsid w:val="0009638C"/>
    <w:rsid w:val="000A25DF"/>
    <w:rsid w:val="000A40EB"/>
    <w:rsid w:val="000A4730"/>
    <w:rsid w:val="000A5167"/>
    <w:rsid w:val="000A78AA"/>
    <w:rsid w:val="000B0646"/>
    <w:rsid w:val="000B0724"/>
    <w:rsid w:val="000B1EF1"/>
    <w:rsid w:val="000B21D6"/>
    <w:rsid w:val="000B47CA"/>
    <w:rsid w:val="000B5481"/>
    <w:rsid w:val="000B5B6C"/>
    <w:rsid w:val="000B5BEB"/>
    <w:rsid w:val="000B7FAF"/>
    <w:rsid w:val="000C2848"/>
    <w:rsid w:val="000C3F91"/>
    <w:rsid w:val="000C3FC6"/>
    <w:rsid w:val="000C4780"/>
    <w:rsid w:val="000C5E7A"/>
    <w:rsid w:val="000D127B"/>
    <w:rsid w:val="000D160A"/>
    <w:rsid w:val="000D1A76"/>
    <w:rsid w:val="000D1C64"/>
    <w:rsid w:val="000D31C9"/>
    <w:rsid w:val="000D4205"/>
    <w:rsid w:val="000D6A26"/>
    <w:rsid w:val="000D6D4C"/>
    <w:rsid w:val="000E4C9C"/>
    <w:rsid w:val="000F0313"/>
    <w:rsid w:val="000F45A7"/>
    <w:rsid w:val="000F6909"/>
    <w:rsid w:val="000F6E3C"/>
    <w:rsid w:val="00100183"/>
    <w:rsid w:val="001002C4"/>
    <w:rsid w:val="0010154A"/>
    <w:rsid w:val="001023D2"/>
    <w:rsid w:val="00102FD9"/>
    <w:rsid w:val="00103BD8"/>
    <w:rsid w:val="00103DED"/>
    <w:rsid w:val="00110108"/>
    <w:rsid w:val="001115A5"/>
    <w:rsid w:val="00111FDB"/>
    <w:rsid w:val="00121866"/>
    <w:rsid w:val="00122B48"/>
    <w:rsid w:val="00130A6A"/>
    <w:rsid w:val="00130D78"/>
    <w:rsid w:val="00132754"/>
    <w:rsid w:val="00132E5B"/>
    <w:rsid w:val="00133616"/>
    <w:rsid w:val="001340F2"/>
    <w:rsid w:val="001356CC"/>
    <w:rsid w:val="0013767B"/>
    <w:rsid w:val="00141213"/>
    <w:rsid w:val="0014227A"/>
    <w:rsid w:val="001479DE"/>
    <w:rsid w:val="00150F4C"/>
    <w:rsid w:val="001527F0"/>
    <w:rsid w:val="00155B9B"/>
    <w:rsid w:val="00155D57"/>
    <w:rsid w:val="001572B8"/>
    <w:rsid w:val="00160DF0"/>
    <w:rsid w:val="00161AF0"/>
    <w:rsid w:val="00164880"/>
    <w:rsid w:val="00166BBB"/>
    <w:rsid w:val="00173121"/>
    <w:rsid w:val="00173CB6"/>
    <w:rsid w:val="00174AEA"/>
    <w:rsid w:val="0018092A"/>
    <w:rsid w:val="001862C9"/>
    <w:rsid w:val="00186B0E"/>
    <w:rsid w:val="0019207B"/>
    <w:rsid w:val="00193EEF"/>
    <w:rsid w:val="00195013"/>
    <w:rsid w:val="00196682"/>
    <w:rsid w:val="00197864"/>
    <w:rsid w:val="001B080B"/>
    <w:rsid w:val="001B3505"/>
    <w:rsid w:val="001B398B"/>
    <w:rsid w:val="001C0077"/>
    <w:rsid w:val="001C1491"/>
    <w:rsid w:val="001C1752"/>
    <w:rsid w:val="001C1AE4"/>
    <w:rsid w:val="001C5DDD"/>
    <w:rsid w:val="001C72B7"/>
    <w:rsid w:val="001D0DD9"/>
    <w:rsid w:val="001D1060"/>
    <w:rsid w:val="001D2275"/>
    <w:rsid w:val="001D37DA"/>
    <w:rsid w:val="001D6822"/>
    <w:rsid w:val="001D6C20"/>
    <w:rsid w:val="001D6FDF"/>
    <w:rsid w:val="001E29E0"/>
    <w:rsid w:val="001E3F61"/>
    <w:rsid w:val="001E40DC"/>
    <w:rsid w:val="001E5881"/>
    <w:rsid w:val="001E78B1"/>
    <w:rsid w:val="001E7B0A"/>
    <w:rsid w:val="001F0D37"/>
    <w:rsid w:val="001F2A41"/>
    <w:rsid w:val="001F3D3F"/>
    <w:rsid w:val="001F7520"/>
    <w:rsid w:val="00200C79"/>
    <w:rsid w:val="00202858"/>
    <w:rsid w:val="00211CBE"/>
    <w:rsid w:val="002123A8"/>
    <w:rsid w:val="0022114E"/>
    <w:rsid w:val="00221672"/>
    <w:rsid w:val="00221BA9"/>
    <w:rsid w:val="002229DC"/>
    <w:rsid w:val="0023475B"/>
    <w:rsid w:val="00234BD5"/>
    <w:rsid w:val="00237C63"/>
    <w:rsid w:val="00240F5D"/>
    <w:rsid w:val="0024126C"/>
    <w:rsid w:val="002427BD"/>
    <w:rsid w:val="0024404A"/>
    <w:rsid w:val="00244E57"/>
    <w:rsid w:val="0024682E"/>
    <w:rsid w:val="00250FB8"/>
    <w:rsid w:val="002538DD"/>
    <w:rsid w:val="002570BE"/>
    <w:rsid w:val="00257735"/>
    <w:rsid w:val="00257E49"/>
    <w:rsid w:val="00261F56"/>
    <w:rsid w:val="00263FF9"/>
    <w:rsid w:val="00264925"/>
    <w:rsid w:val="00265693"/>
    <w:rsid w:val="00265B36"/>
    <w:rsid w:val="002663AA"/>
    <w:rsid w:val="002673E8"/>
    <w:rsid w:val="002710A0"/>
    <w:rsid w:val="00277B62"/>
    <w:rsid w:val="00286225"/>
    <w:rsid w:val="00286BAE"/>
    <w:rsid w:val="00287A8B"/>
    <w:rsid w:val="00292563"/>
    <w:rsid w:val="002929D2"/>
    <w:rsid w:val="00293D1C"/>
    <w:rsid w:val="002A0236"/>
    <w:rsid w:val="002A2959"/>
    <w:rsid w:val="002A6940"/>
    <w:rsid w:val="002B19FE"/>
    <w:rsid w:val="002B1BD7"/>
    <w:rsid w:val="002B29D3"/>
    <w:rsid w:val="002B4987"/>
    <w:rsid w:val="002B673A"/>
    <w:rsid w:val="002C08DE"/>
    <w:rsid w:val="002C28B6"/>
    <w:rsid w:val="002C4945"/>
    <w:rsid w:val="002C4AD0"/>
    <w:rsid w:val="002C4D45"/>
    <w:rsid w:val="002C6166"/>
    <w:rsid w:val="002C7168"/>
    <w:rsid w:val="002C71FD"/>
    <w:rsid w:val="002D01A8"/>
    <w:rsid w:val="002D123B"/>
    <w:rsid w:val="002E10A8"/>
    <w:rsid w:val="002E3145"/>
    <w:rsid w:val="002E482B"/>
    <w:rsid w:val="002E6BBB"/>
    <w:rsid w:val="002E6F52"/>
    <w:rsid w:val="002E6FFE"/>
    <w:rsid w:val="002F0442"/>
    <w:rsid w:val="002F0D3C"/>
    <w:rsid w:val="002F3685"/>
    <w:rsid w:val="002F468F"/>
    <w:rsid w:val="002F4A51"/>
    <w:rsid w:val="00310E7D"/>
    <w:rsid w:val="00313AC6"/>
    <w:rsid w:val="0031454F"/>
    <w:rsid w:val="00315670"/>
    <w:rsid w:val="0031645A"/>
    <w:rsid w:val="0031791A"/>
    <w:rsid w:val="00317C45"/>
    <w:rsid w:val="0032223A"/>
    <w:rsid w:val="003234F1"/>
    <w:rsid w:val="00323E06"/>
    <w:rsid w:val="003315D0"/>
    <w:rsid w:val="00340CF2"/>
    <w:rsid w:val="00341037"/>
    <w:rsid w:val="00341A40"/>
    <w:rsid w:val="0034316F"/>
    <w:rsid w:val="00345D49"/>
    <w:rsid w:val="00345D4D"/>
    <w:rsid w:val="00350354"/>
    <w:rsid w:val="00352C69"/>
    <w:rsid w:val="0035348F"/>
    <w:rsid w:val="0035359A"/>
    <w:rsid w:val="003545B9"/>
    <w:rsid w:val="0035516E"/>
    <w:rsid w:val="00355DDC"/>
    <w:rsid w:val="00357459"/>
    <w:rsid w:val="00360EF1"/>
    <w:rsid w:val="00362B24"/>
    <w:rsid w:val="003635F0"/>
    <w:rsid w:val="00364B80"/>
    <w:rsid w:val="003658CF"/>
    <w:rsid w:val="003668CE"/>
    <w:rsid w:val="003822DA"/>
    <w:rsid w:val="0038627C"/>
    <w:rsid w:val="0038687C"/>
    <w:rsid w:val="00392D10"/>
    <w:rsid w:val="0039732F"/>
    <w:rsid w:val="00397FE6"/>
    <w:rsid w:val="003A03E0"/>
    <w:rsid w:val="003A262F"/>
    <w:rsid w:val="003A286C"/>
    <w:rsid w:val="003A5E68"/>
    <w:rsid w:val="003A7313"/>
    <w:rsid w:val="003A7366"/>
    <w:rsid w:val="003B0EA4"/>
    <w:rsid w:val="003B0F85"/>
    <w:rsid w:val="003B2288"/>
    <w:rsid w:val="003B5051"/>
    <w:rsid w:val="003B5460"/>
    <w:rsid w:val="003B67D3"/>
    <w:rsid w:val="003C197F"/>
    <w:rsid w:val="003C3231"/>
    <w:rsid w:val="003D173D"/>
    <w:rsid w:val="003D2D9C"/>
    <w:rsid w:val="003D3BCA"/>
    <w:rsid w:val="003D5093"/>
    <w:rsid w:val="003D5175"/>
    <w:rsid w:val="003D5F4B"/>
    <w:rsid w:val="003D6109"/>
    <w:rsid w:val="003E1526"/>
    <w:rsid w:val="003E1B01"/>
    <w:rsid w:val="003E24C0"/>
    <w:rsid w:val="003E2796"/>
    <w:rsid w:val="003E3F04"/>
    <w:rsid w:val="003E4113"/>
    <w:rsid w:val="003E5C2D"/>
    <w:rsid w:val="003E7BF7"/>
    <w:rsid w:val="003F42A0"/>
    <w:rsid w:val="003F7BFA"/>
    <w:rsid w:val="0040309D"/>
    <w:rsid w:val="00403AF0"/>
    <w:rsid w:val="00403E70"/>
    <w:rsid w:val="004101EA"/>
    <w:rsid w:val="00412755"/>
    <w:rsid w:val="00412844"/>
    <w:rsid w:val="00417147"/>
    <w:rsid w:val="00423F00"/>
    <w:rsid w:val="00425BB9"/>
    <w:rsid w:val="00427CCB"/>
    <w:rsid w:val="00427FD7"/>
    <w:rsid w:val="00433E92"/>
    <w:rsid w:val="004372B8"/>
    <w:rsid w:val="004375DE"/>
    <w:rsid w:val="00437B04"/>
    <w:rsid w:val="00440904"/>
    <w:rsid w:val="00446282"/>
    <w:rsid w:val="00446816"/>
    <w:rsid w:val="00447362"/>
    <w:rsid w:val="004506F2"/>
    <w:rsid w:val="00455236"/>
    <w:rsid w:val="00457126"/>
    <w:rsid w:val="00457ECB"/>
    <w:rsid w:val="00460215"/>
    <w:rsid w:val="00461789"/>
    <w:rsid w:val="004651B2"/>
    <w:rsid w:val="00465E0E"/>
    <w:rsid w:val="00466212"/>
    <w:rsid w:val="00472A7C"/>
    <w:rsid w:val="00476E75"/>
    <w:rsid w:val="00484563"/>
    <w:rsid w:val="004847B2"/>
    <w:rsid w:val="00484980"/>
    <w:rsid w:val="00484A5B"/>
    <w:rsid w:val="00484EF0"/>
    <w:rsid w:val="004855C0"/>
    <w:rsid w:val="00485CBF"/>
    <w:rsid w:val="00486B24"/>
    <w:rsid w:val="00490AC0"/>
    <w:rsid w:val="00493782"/>
    <w:rsid w:val="00493C31"/>
    <w:rsid w:val="0049488D"/>
    <w:rsid w:val="004A475A"/>
    <w:rsid w:val="004A4A7A"/>
    <w:rsid w:val="004A65EF"/>
    <w:rsid w:val="004A78BA"/>
    <w:rsid w:val="004B0E1D"/>
    <w:rsid w:val="004B1139"/>
    <w:rsid w:val="004B2157"/>
    <w:rsid w:val="004B596F"/>
    <w:rsid w:val="004B5B23"/>
    <w:rsid w:val="004C2455"/>
    <w:rsid w:val="004C25A7"/>
    <w:rsid w:val="004C7E63"/>
    <w:rsid w:val="004D16A8"/>
    <w:rsid w:val="004D3919"/>
    <w:rsid w:val="004D4B17"/>
    <w:rsid w:val="004E1D4E"/>
    <w:rsid w:val="004E1E67"/>
    <w:rsid w:val="004F4243"/>
    <w:rsid w:val="004F6784"/>
    <w:rsid w:val="00500098"/>
    <w:rsid w:val="00500324"/>
    <w:rsid w:val="00500B62"/>
    <w:rsid w:val="005024DB"/>
    <w:rsid w:val="00502A78"/>
    <w:rsid w:val="0050490D"/>
    <w:rsid w:val="0050687D"/>
    <w:rsid w:val="00506AEA"/>
    <w:rsid w:val="00512061"/>
    <w:rsid w:val="00516914"/>
    <w:rsid w:val="00517328"/>
    <w:rsid w:val="00517ED2"/>
    <w:rsid w:val="00523840"/>
    <w:rsid w:val="00534187"/>
    <w:rsid w:val="00535576"/>
    <w:rsid w:val="00537E5B"/>
    <w:rsid w:val="005407FC"/>
    <w:rsid w:val="00541163"/>
    <w:rsid w:val="00541A11"/>
    <w:rsid w:val="00541C85"/>
    <w:rsid w:val="00541EA9"/>
    <w:rsid w:val="005424CD"/>
    <w:rsid w:val="005469DF"/>
    <w:rsid w:val="00546FD0"/>
    <w:rsid w:val="00547068"/>
    <w:rsid w:val="0055188C"/>
    <w:rsid w:val="005570BE"/>
    <w:rsid w:val="00560E25"/>
    <w:rsid w:val="00563CB2"/>
    <w:rsid w:val="00565ECC"/>
    <w:rsid w:val="00577B8E"/>
    <w:rsid w:val="00580CAD"/>
    <w:rsid w:val="00581649"/>
    <w:rsid w:val="00581D27"/>
    <w:rsid w:val="0058523D"/>
    <w:rsid w:val="00586F9D"/>
    <w:rsid w:val="00591174"/>
    <w:rsid w:val="00591A14"/>
    <w:rsid w:val="005921DF"/>
    <w:rsid w:val="00592C11"/>
    <w:rsid w:val="00593882"/>
    <w:rsid w:val="005939DF"/>
    <w:rsid w:val="0059740A"/>
    <w:rsid w:val="005A05B5"/>
    <w:rsid w:val="005A0CD8"/>
    <w:rsid w:val="005A1730"/>
    <w:rsid w:val="005A1CC5"/>
    <w:rsid w:val="005A1DAE"/>
    <w:rsid w:val="005A60E5"/>
    <w:rsid w:val="005B0D6B"/>
    <w:rsid w:val="005B1F1A"/>
    <w:rsid w:val="005B34E9"/>
    <w:rsid w:val="005B3A43"/>
    <w:rsid w:val="005B65E2"/>
    <w:rsid w:val="005B671B"/>
    <w:rsid w:val="005C2ADE"/>
    <w:rsid w:val="005D2842"/>
    <w:rsid w:val="005D4BF3"/>
    <w:rsid w:val="005D4DAA"/>
    <w:rsid w:val="005D6147"/>
    <w:rsid w:val="005D66F7"/>
    <w:rsid w:val="005D6A57"/>
    <w:rsid w:val="005E35AD"/>
    <w:rsid w:val="005E3FD6"/>
    <w:rsid w:val="005E4B98"/>
    <w:rsid w:val="005F2239"/>
    <w:rsid w:val="005F277A"/>
    <w:rsid w:val="005F4F34"/>
    <w:rsid w:val="005F58F5"/>
    <w:rsid w:val="005F6FA2"/>
    <w:rsid w:val="006029FD"/>
    <w:rsid w:val="00603368"/>
    <w:rsid w:val="0060426E"/>
    <w:rsid w:val="00605334"/>
    <w:rsid w:val="00611B3E"/>
    <w:rsid w:val="006122C6"/>
    <w:rsid w:val="0061285A"/>
    <w:rsid w:val="0061295E"/>
    <w:rsid w:val="006204A8"/>
    <w:rsid w:val="00621C2B"/>
    <w:rsid w:val="00623928"/>
    <w:rsid w:val="00626159"/>
    <w:rsid w:val="00626AC1"/>
    <w:rsid w:val="00626AC8"/>
    <w:rsid w:val="0063028B"/>
    <w:rsid w:val="00630309"/>
    <w:rsid w:val="00633C87"/>
    <w:rsid w:val="0063509F"/>
    <w:rsid w:val="00645965"/>
    <w:rsid w:val="00646C5B"/>
    <w:rsid w:val="00650239"/>
    <w:rsid w:val="00651C14"/>
    <w:rsid w:val="0065449D"/>
    <w:rsid w:val="00661D31"/>
    <w:rsid w:val="006640BA"/>
    <w:rsid w:val="006651EA"/>
    <w:rsid w:val="00666319"/>
    <w:rsid w:val="0066703D"/>
    <w:rsid w:val="0066719E"/>
    <w:rsid w:val="006709A8"/>
    <w:rsid w:val="006724EC"/>
    <w:rsid w:val="006742C7"/>
    <w:rsid w:val="00675DC7"/>
    <w:rsid w:val="006760D7"/>
    <w:rsid w:val="00681810"/>
    <w:rsid w:val="00682215"/>
    <w:rsid w:val="00683676"/>
    <w:rsid w:val="0068509E"/>
    <w:rsid w:val="00687798"/>
    <w:rsid w:val="00694098"/>
    <w:rsid w:val="006960A5"/>
    <w:rsid w:val="006A15D7"/>
    <w:rsid w:val="006A2226"/>
    <w:rsid w:val="006A2CF6"/>
    <w:rsid w:val="006A4062"/>
    <w:rsid w:val="006B1E3D"/>
    <w:rsid w:val="006B3CCC"/>
    <w:rsid w:val="006B4B74"/>
    <w:rsid w:val="006B5358"/>
    <w:rsid w:val="006B60C4"/>
    <w:rsid w:val="006C28EF"/>
    <w:rsid w:val="006C4EB9"/>
    <w:rsid w:val="006D4E73"/>
    <w:rsid w:val="006D4F50"/>
    <w:rsid w:val="006E0188"/>
    <w:rsid w:val="006E1493"/>
    <w:rsid w:val="006E198E"/>
    <w:rsid w:val="006E38FE"/>
    <w:rsid w:val="006E3A02"/>
    <w:rsid w:val="006E5CFB"/>
    <w:rsid w:val="006E5F9F"/>
    <w:rsid w:val="006E784F"/>
    <w:rsid w:val="0070225E"/>
    <w:rsid w:val="007025B3"/>
    <w:rsid w:val="00702B1A"/>
    <w:rsid w:val="00710122"/>
    <w:rsid w:val="00711B84"/>
    <w:rsid w:val="007137F4"/>
    <w:rsid w:val="00715940"/>
    <w:rsid w:val="00715CFC"/>
    <w:rsid w:val="0072017E"/>
    <w:rsid w:val="0072771C"/>
    <w:rsid w:val="007355C2"/>
    <w:rsid w:val="0073662F"/>
    <w:rsid w:val="00741719"/>
    <w:rsid w:val="00747B9E"/>
    <w:rsid w:val="00750D60"/>
    <w:rsid w:val="00750F16"/>
    <w:rsid w:val="00751E68"/>
    <w:rsid w:val="007560EF"/>
    <w:rsid w:val="0076056C"/>
    <w:rsid w:val="007700E2"/>
    <w:rsid w:val="00771301"/>
    <w:rsid w:val="00772E88"/>
    <w:rsid w:val="007772BD"/>
    <w:rsid w:val="00777E51"/>
    <w:rsid w:val="00781B25"/>
    <w:rsid w:val="007830D4"/>
    <w:rsid w:val="00783681"/>
    <w:rsid w:val="0078452F"/>
    <w:rsid w:val="0078640E"/>
    <w:rsid w:val="00790FAF"/>
    <w:rsid w:val="00792A48"/>
    <w:rsid w:val="00794779"/>
    <w:rsid w:val="0079689D"/>
    <w:rsid w:val="007A2C4F"/>
    <w:rsid w:val="007A43AB"/>
    <w:rsid w:val="007A4F52"/>
    <w:rsid w:val="007A5B35"/>
    <w:rsid w:val="007B34BF"/>
    <w:rsid w:val="007B60D4"/>
    <w:rsid w:val="007B6D26"/>
    <w:rsid w:val="007C0A83"/>
    <w:rsid w:val="007C1EA7"/>
    <w:rsid w:val="007C1F12"/>
    <w:rsid w:val="007C635F"/>
    <w:rsid w:val="007D0D24"/>
    <w:rsid w:val="007D1190"/>
    <w:rsid w:val="007D1379"/>
    <w:rsid w:val="007D2505"/>
    <w:rsid w:val="007D419F"/>
    <w:rsid w:val="007D4B90"/>
    <w:rsid w:val="007D5992"/>
    <w:rsid w:val="007D603E"/>
    <w:rsid w:val="007E0771"/>
    <w:rsid w:val="007F064B"/>
    <w:rsid w:val="00804652"/>
    <w:rsid w:val="00804A1D"/>
    <w:rsid w:val="008065B2"/>
    <w:rsid w:val="00810121"/>
    <w:rsid w:val="0081300D"/>
    <w:rsid w:val="00814D42"/>
    <w:rsid w:val="00817370"/>
    <w:rsid w:val="00817D95"/>
    <w:rsid w:val="00822869"/>
    <w:rsid w:val="00825FB9"/>
    <w:rsid w:val="008319C1"/>
    <w:rsid w:val="00832424"/>
    <w:rsid w:val="00836DDF"/>
    <w:rsid w:val="008378DF"/>
    <w:rsid w:val="008424A6"/>
    <w:rsid w:val="00842623"/>
    <w:rsid w:val="00842C64"/>
    <w:rsid w:val="00844E8D"/>
    <w:rsid w:val="00845090"/>
    <w:rsid w:val="00845178"/>
    <w:rsid w:val="00850BE6"/>
    <w:rsid w:val="0085310E"/>
    <w:rsid w:val="008554C9"/>
    <w:rsid w:val="00856D7B"/>
    <w:rsid w:val="00860BAA"/>
    <w:rsid w:val="008613D1"/>
    <w:rsid w:val="00863BA6"/>
    <w:rsid w:val="008655FC"/>
    <w:rsid w:val="008662A9"/>
    <w:rsid w:val="00866672"/>
    <w:rsid w:val="008675EF"/>
    <w:rsid w:val="008719B1"/>
    <w:rsid w:val="00871CFA"/>
    <w:rsid w:val="00873406"/>
    <w:rsid w:val="00875B4D"/>
    <w:rsid w:val="00876628"/>
    <w:rsid w:val="00880C16"/>
    <w:rsid w:val="00882E54"/>
    <w:rsid w:val="008874CC"/>
    <w:rsid w:val="008942C8"/>
    <w:rsid w:val="0089642A"/>
    <w:rsid w:val="00896921"/>
    <w:rsid w:val="008A586D"/>
    <w:rsid w:val="008A739D"/>
    <w:rsid w:val="008B29AB"/>
    <w:rsid w:val="008B71C0"/>
    <w:rsid w:val="008C1040"/>
    <w:rsid w:val="008C239B"/>
    <w:rsid w:val="008C4841"/>
    <w:rsid w:val="008C6330"/>
    <w:rsid w:val="008D0AEF"/>
    <w:rsid w:val="008D30EB"/>
    <w:rsid w:val="008D5DF2"/>
    <w:rsid w:val="008D61A9"/>
    <w:rsid w:val="008D7164"/>
    <w:rsid w:val="008D7AAA"/>
    <w:rsid w:val="008E024A"/>
    <w:rsid w:val="008E1EBE"/>
    <w:rsid w:val="008E3E44"/>
    <w:rsid w:val="008E3F82"/>
    <w:rsid w:val="008E5E19"/>
    <w:rsid w:val="008F0735"/>
    <w:rsid w:val="008F1745"/>
    <w:rsid w:val="008F34E3"/>
    <w:rsid w:val="008F3B7E"/>
    <w:rsid w:val="008F7424"/>
    <w:rsid w:val="00906A87"/>
    <w:rsid w:val="00911DB7"/>
    <w:rsid w:val="00913017"/>
    <w:rsid w:val="0091654D"/>
    <w:rsid w:val="00922A7F"/>
    <w:rsid w:val="009276AF"/>
    <w:rsid w:val="0093310C"/>
    <w:rsid w:val="00933F1B"/>
    <w:rsid w:val="0093460E"/>
    <w:rsid w:val="009368DD"/>
    <w:rsid w:val="00945E8C"/>
    <w:rsid w:val="00947278"/>
    <w:rsid w:val="00947809"/>
    <w:rsid w:val="00947A84"/>
    <w:rsid w:val="00950A90"/>
    <w:rsid w:val="00952988"/>
    <w:rsid w:val="00952AE2"/>
    <w:rsid w:val="00955226"/>
    <w:rsid w:val="00955E89"/>
    <w:rsid w:val="00956C5D"/>
    <w:rsid w:val="009578D6"/>
    <w:rsid w:val="0096027E"/>
    <w:rsid w:val="009615D4"/>
    <w:rsid w:val="00966321"/>
    <w:rsid w:val="0097321B"/>
    <w:rsid w:val="0097356F"/>
    <w:rsid w:val="009739E3"/>
    <w:rsid w:val="00976B0D"/>
    <w:rsid w:val="00977185"/>
    <w:rsid w:val="00982C91"/>
    <w:rsid w:val="00983C16"/>
    <w:rsid w:val="009872F9"/>
    <w:rsid w:val="009907F6"/>
    <w:rsid w:val="0099084F"/>
    <w:rsid w:val="0099189B"/>
    <w:rsid w:val="00997E1C"/>
    <w:rsid w:val="009A0150"/>
    <w:rsid w:val="009A0C08"/>
    <w:rsid w:val="009A2116"/>
    <w:rsid w:val="009A5CD7"/>
    <w:rsid w:val="009A6B50"/>
    <w:rsid w:val="009B0BFB"/>
    <w:rsid w:val="009B2D03"/>
    <w:rsid w:val="009B54CD"/>
    <w:rsid w:val="009C154E"/>
    <w:rsid w:val="009C1DB3"/>
    <w:rsid w:val="009C22B7"/>
    <w:rsid w:val="009C5721"/>
    <w:rsid w:val="009D2EA7"/>
    <w:rsid w:val="009D581E"/>
    <w:rsid w:val="009D59D7"/>
    <w:rsid w:val="009E0EA5"/>
    <w:rsid w:val="009E3ADF"/>
    <w:rsid w:val="009E3D1A"/>
    <w:rsid w:val="009F163C"/>
    <w:rsid w:val="009F3670"/>
    <w:rsid w:val="009F4426"/>
    <w:rsid w:val="009F6715"/>
    <w:rsid w:val="00A0338B"/>
    <w:rsid w:val="00A0769A"/>
    <w:rsid w:val="00A12C5E"/>
    <w:rsid w:val="00A16255"/>
    <w:rsid w:val="00A16D66"/>
    <w:rsid w:val="00A24D0E"/>
    <w:rsid w:val="00A25265"/>
    <w:rsid w:val="00A265BE"/>
    <w:rsid w:val="00A27AB6"/>
    <w:rsid w:val="00A27CB0"/>
    <w:rsid w:val="00A335A4"/>
    <w:rsid w:val="00A34572"/>
    <w:rsid w:val="00A34C53"/>
    <w:rsid w:val="00A36F2A"/>
    <w:rsid w:val="00A36F73"/>
    <w:rsid w:val="00A432ED"/>
    <w:rsid w:val="00A446EF"/>
    <w:rsid w:val="00A52E10"/>
    <w:rsid w:val="00A537AC"/>
    <w:rsid w:val="00A5674D"/>
    <w:rsid w:val="00A65529"/>
    <w:rsid w:val="00A6661B"/>
    <w:rsid w:val="00A71ED2"/>
    <w:rsid w:val="00A71EDE"/>
    <w:rsid w:val="00A74E54"/>
    <w:rsid w:val="00A8450D"/>
    <w:rsid w:val="00A86E32"/>
    <w:rsid w:val="00A87235"/>
    <w:rsid w:val="00A905D5"/>
    <w:rsid w:val="00A9065A"/>
    <w:rsid w:val="00A94599"/>
    <w:rsid w:val="00A97D1A"/>
    <w:rsid w:val="00AA09DC"/>
    <w:rsid w:val="00AA523B"/>
    <w:rsid w:val="00AA64FF"/>
    <w:rsid w:val="00AB201F"/>
    <w:rsid w:val="00AB4BDB"/>
    <w:rsid w:val="00AB65BA"/>
    <w:rsid w:val="00AC11DB"/>
    <w:rsid w:val="00AC2E96"/>
    <w:rsid w:val="00AC2FC4"/>
    <w:rsid w:val="00AC3308"/>
    <w:rsid w:val="00AC6A8A"/>
    <w:rsid w:val="00AC733F"/>
    <w:rsid w:val="00AC7A0D"/>
    <w:rsid w:val="00AD42A8"/>
    <w:rsid w:val="00AE0BD7"/>
    <w:rsid w:val="00AE1D6E"/>
    <w:rsid w:val="00AE2D44"/>
    <w:rsid w:val="00AE3002"/>
    <w:rsid w:val="00AE3600"/>
    <w:rsid w:val="00AE3F17"/>
    <w:rsid w:val="00AE4DE4"/>
    <w:rsid w:val="00AE53B6"/>
    <w:rsid w:val="00AE7CA6"/>
    <w:rsid w:val="00AF055F"/>
    <w:rsid w:val="00AF23AB"/>
    <w:rsid w:val="00AF5EAE"/>
    <w:rsid w:val="00AF69EF"/>
    <w:rsid w:val="00AF7287"/>
    <w:rsid w:val="00B01F73"/>
    <w:rsid w:val="00B05BC9"/>
    <w:rsid w:val="00B11283"/>
    <w:rsid w:val="00B113BF"/>
    <w:rsid w:val="00B13249"/>
    <w:rsid w:val="00B16859"/>
    <w:rsid w:val="00B25AC5"/>
    <w:rsid w:val="00B272EA"/>
    <w:rsid w:val="00B33E3B"/>
    <w:rsid w:val="00B35CEC"/>
    <w:rsid w:val="00B40E46"/>
    <w:rsid w:val="00B413FE"/>
    <w:rsid w:val="00B427DB"/>
    <w:rsid w:val="00B51C55"/>
    <w:rsid w:val="00B53242"/>
    <w:rsid w:val="00B53B4C"/>
    <w:rsid w:val="00B60241"/>
    <w:rsid w:val="00B7088A"/>
    <w:rsid w:val="00B71FF0"/>
    <w:rsid w:val="00B7233B"/>
    <w:rsid w:val="00B74549"/>
    <w:rsid w:val="00B758C7"/>
    <w:rsid w:val="00B77A67"/>
    <w:rsid w:val="00B8028C"/>
    <w:rsid w:val="00B80D43"/>
    <w:rsid w:val="00B81005"/>
    <w:rsid w:val="00B81CEC"/>
    <w:rsid w:val="00B857D5"/>
    <w:rsid w:val="00B85C01"/>
    <w:rsid w:val="00B87D41"/>
    <w:rsid w:val="00B9017D"/>
    <w:rsid w:val="00B918A6"/>
    <w:rsid w:val="00B93741"/>
    <w:rsid w:val="00B93D36"/>
    <w:rsid w:val="00BA0271"/>
    <w:rsid w:val="00BA0D8A"/>
    <w:rsid w:val="00BA2AF4"/>
    <w:rsid w:val="00BA3C52"/>
    <w:rsid w:val="00BA4F40"/>
    <w:rsid w:val="00BA5746"/>
    <w:rsid w:val="00BA5BE7"/>
    <w:rsid w:val="00BB0763"/>
    <w:rsid w:val="00BB3B4D"/>
    <w:rsid w:val="00BB3EEB"/>
    <w:rsid w:val="00BB460B"/>
    <w:rsid w:val="00BB5A6B"/>
    <w:rsid w:val="00BB7F97"/>
    <w:rsid w:val="00BC1EB4"/>
    <w:rsid w:val="00BC25A3"/>
    <w:rsid w:val="00BC3C66"/>
    <w:rsid w:val="00BC4086"/>
    <w:rsid w:val="00BC40D9"/>
    <w:rsid w:val="00BC42BC"/>
    <w:rsid w:val="00BC4C0A"/>
    <w:rsid w:val="00BC4FC5"/>
    <w:rsid w:val="00BD474E"/>
    <w:rsid w:val="00BD5649"/>
    <w:rsid w:val="00BD5898"/>
    <w:rsid w:val="00BD7B17"/>
    <w:rsid w:val="00BE0B99"/>
    <w:rsid w:val="00BE316A"/>
    <w:rsid w:val="00BE368A"/>
    <w:rsid w:val="00BE3FCA"/>
    <w:rsid w:val="00BE6B01"/>
    <w:rsid w:val="00BE7C7B"/>
    <w:rsid w:val="00BF11B1"/>
    <w:rsid w:val="00BF2114"/>
    <w:rsid w:val="00C01DF6"/>
    <w:rsid w:val="00C11A62"/>
    <w:rsid w:val="00C141B6"/>
    <w:rsid w:val="00C157A0"/>
    <w:rsid w:val="00C16E1F"/>
    <w:rsid w:val="00C17B0E"/>
    <w:rsid w:val="00C2163F"/>
    <w:rsid w:val="00C24F28"/>
    <w:rsid w:val="00C2606E"/>
    <w:rsid w:val="00C30776"/>
    <w:rsid w:val="00C343B0"/>
    <w:rsid w:val="00C35C3E"/>
    <w:rsid w:val="00C400C6"/>
    <w:rsid w:val="00C4090E"/>
    <w:rsid w:val="00C40DF5"/>
    <w:rsid w:val="00C4121C"/>
    <w:rsid w:val="00C4196E"/>
    <w:rsid w:val="00C41C59"/>
    <w:rsid w:val="00C44550"/>
    <w:rsid w:val="00C446C1"/>
    <w:rsid w:val="00C50309"/>
    <w:rsid w:val="00C53F7C"/>
    <w:rsid w:val="00C546D2"/>
    <w:rsid w:val="00C55AC0"/>
    <w:rsid w:val="00C55C54"/>
    <w:rsid w:val="00C57DE8"/>
    <w:rsid w:val="00C605CC"/>
    <w:rsid w:val="00C61026"/>
    <w:rsid w:val="00C626CA"/>
    <w:rsid w:val="00C62E49"/>
    <w:rsid w:val="00C63506"/>
    <w:rsid w:val="00C6461D"/>
    <w:rsid w:val="00C805CE"/>
    <w:rsid w:val="00C80F9C"/>
    <w:rsid w:val="00C82138"/>
    <w:rsid w:val="00C84729"/>
    <w:rsid w:val="00C85D4C"/>
    <w:rsid w:val="00C86E82"/>
    <w:rsid w:val="00C9273B"/>
    <w:rsid w:val="00C934BA"/>
    <w:rsid w:val="00C93C63"/>
    <w:rsid w:val="00C94699"/>
    <w:rsid w:val="00C949BF"/>
    <w:rsid w:val="00C95272"/>
    <w:rsid w:val="00C96FD1"/>
    <w:rsid w:val="00CA12B7"/>
    <w:rsid w:val="00CA19FE"/>
    <w:rsid w:val="00CA44B0"/>
    <w:rsid w:val="00CA53F1"/>
    <w:rsid w:val="00CA64D5"/>
    <w:rsid w:val="00CB2EEA"/>
    <w:rsid w:val="00CB2F28"/>
    <w:rsid w:val="00CB426A"/>
    <w:rsid w:val="00CB4743"/>
    <w:rsid w:val="00CB48F4"/>
    <w:rsid w:val="00CB712F"/>
    <w:rsid w:val="00CC07A6"/>
    <w:rsid w:val="00CC09FC"/>
    <w:rsid w:val="00CC3533"/>
    <w:rsid w:val="00CC4240"/>
    <w:rsid w:val="00CC478C"/>
    <w:rsid w:val="00CC5ADD"/>
    <w:rsid w:val="00CD3957"/>
    <w:rsid w:val="00CE1930"/>
    <w:rsid w:val="00CE26A6"/>
    <w:rsid w:val="00CE60D6"/>
    <w:rsid w:val="00CE659B"/>
    <w:rsid w:val="00CF632D"/>
    <w:rsid w:val="00CF65F6"/>
    <w:rsid w:val="00D01966"/>
    <w:rsid w:val="00D01FCD"/>
    <w:rsid w:val="00D05064"/>
    <w:rsid w:val="00D1599E"/>
    <w:rsid w:val="00D20EB6"/>
    <w:rsid w:val="00D22980"/>
    <w:rsid w:val="00D26AB2"/>
    <w:rsid w:val="00D27F11"/>
    <w:rsid w:val="00D30104"/>
    <w:rsid w:val="00D313E7"/>
    <w:rsid w:val="00D33458"/>
    <w:rsid w:val="00D33E41"/>
    <w:rsid w:val="00D42261"/>
    <w:rsid w:val="00D472B2"/>
    <w:rsid w:val="00D504BE"/>
    <w:rsid w:val="00D529B1"/>
    <w:rsid w:val="00D52D52"/>
    <w:rsid w:val="00D534CD"/>
    <w:rsid w:val="00D53757"/>
    <w:rsid w:val="00D551B9"/>
    <w:rsid w:val="00D5574E"/>
    <w:rsid w:val="00D5600A"/>
    <w:rsid w:val="00D564B4"/>
    <w:rsid w:val="00D60489"/>
    <w:rsid w:val="00D61439"/>
    <w:rsid w:val="00D63E46"/>
    <w:rsid w:val="00D648C2"/>
    <w:rsid w:val="00D7038B"/>
    <w:rsid w:val="00D71069"/>
    <w:rsid w:val="00D71AE7"/>
    <w:rsid w:val="00D73009"/>
    <w:rsid w:val="00D77787"/>
    <w:rsid w:val="00D8087C"/>
    <w:rsid w:val="00D8179A"/>
    <w:rsid w:val="00D8304B"/>
    <w:rsid w:val="00D84D1C"/>
    <w:rsid w:val="00D85684"/>
    <w:rsid w:val="00D857EF"/>
    <w:rsid w:val="00D86947"/>
    <w:rsid w:val="00D906BE"/>
    <w:rsid w:val="00D91CA6"/>
    <w:rsid w:val="00D92AB8"/>
    <w:rsid w:val="00D92ED8"/>
    <w:rsid w:val="00D93665"/>
    <w:rsid w:val="00D95807"/>
    <w:rsid w:val="00DA0E0D"/>
    <w:rsid w:val="00DA14BB"/>
    <w:rsid w:val="00DA4566"/>
    <w:rsid w:val="00DA490E"/>
    <w:rsid w:val="00DB4A94"/>
    <w:rsid w:val="00DB6714"/>
    <w:rsid w:val="00DB6990"/>
    <w:rsid w:val="00DC2D57"/>
    <w:rsid w:val="00DC49C0"/>
    <w:rsid w:val="00DC51C8"/>
    <w:rsid w:val="00DD2360"/>
    <w:rsid w:val="00DD4955"/>
    <w:rsid w:val="00DD657E"/>
    <w:rsid w:val="00DD6A63"/>
    <w:rsid w:val="00DE0CF9"/>
    <w:rsid w:val="00DE102F"/>
    <w:rsid w:val="00DE4C63"/>
    <w:rsid w:val="00DF2501"/>
    <w:rsid w:val="00DF5576"/>
    <w:rsid w:val="00DF589B"/>
    <w:rsid w:val="00E001AB"/>
    <w:rsid w:val="00E01FB4"/>
    <w:rsid w:val="00E02837"/>
    <w:rsid w:val="00E038D1"/>
    <w:rsid w:val="00E04519"/>
    <w:rsid w:val="00E04EA8"/>
    <w:rsid w:val="00E05874"/>
    <w:rsid w:val="00E06E3D"/>
    <w:rsid w:val="00E07576"/>
    <w:rsid w:val="00E10867"/>
    <w:rsid w:val="00E149CA"/>
    <w:rsid w:val="00E15263"/>
    <w:rsid w:val="00E15BA1"/>
    <w:rsid w:val="00E168A2"/>
    <w:rsid w:val="00E20738"/>
    <w:rsid w:val="00E26369"/>
    <w:rsid w:val="00E263AA"/>
    <w:rsid w:val="00E26FD8"/>
    <w:rsid w:val="00E3109F"/>
    <w:rsid w:val="00E323CD"/>
    <w:rsid w:val="00E34924"/>
    <w:rsid w:val="00E35609"/>
    <w:rsid w:val="00E4139D"/>
    <w:rsid w:val="00E44696"/>
    <w:rsid w:val="00E457A4"/>
    <w:rsid w:val="00E45DE6"/>
    <w:rsid w:val="00E5175D"/>
    <w:rsid w:val="00E53F26"/>
    <w:rsid w:val="00E540EE"/>
    <w:rsid w:val="00E54194"/>
    <w:rsid w:val="00E5484E"/>
    <w:rsid w:val="00E56161"/>
    <w:rsid w:val="00E5749F"/>
    <w:rsid w:val="00E57E8A"/>
    <w:rsid w:val="00E6360D"/>
    <w:rsid w:val="00E74F89"/>
    <w:rsid w:val="00E766F0"/>
    <w:rsid w:val="00E7776A"/>
    <w:rsid w:val="00E77C2B"/>
    <w:rsid w:val="00E82620"/>
    <w:rsid w:val="00E83D69"/>
    <w:rsid w:val="00E85F02"/>
    <w:rsid w:val="00E8641C"/>
    <w:rsid w:val="00E8682F"/>
    <w:rsid w:val="00E9291B"/>
    <w:rsid w:val="00E93E5C"/>
    <w:rsid w:val="00E94443"/>
    <w:rsid w:val="00E964C5"/>
    <w:rsid w:val="00E96E69"/>
    <w:rsid w:val="00E97AB2"/>
    <w:rsid w:val="00EA0DB4"/>
    <w:rsid w:val="00EA16D5"/>
    <w:rsid w:val="00EA41A8"/>
    <w:rsid w:val="00EB57B8"/>
    <w:rsid w:val="00EB6E12"/>
    <w:rsid w:val="00EB7EED"/>
    <w:rsid w:val="00EB7F7A"/>
    <w:rsid w:val="00EC115E"/>
    <w:rsid w:val="00EC2536"/>
    <w:rsid w:val="00EC4205"/>
    <w:rsid w:val="00EC6197"/>
    <w:rsid w:val="00ED1A47"/>
    <w:rsid w:val="00ED1F3C"/>
    <w:rsid w:val="00ED2BCA"/>
    <w:rsid w:val="00ED306E"/>
    <w:rsid w:val="00ED4C45"/>
    <w:rsid w:val="00ED58DA"/>
    <w:rsid w:val="00ED6B86"/>
    <w:rsid w:val="00EE5C2F"/>
    <w:rsid w:val="00EE661D"/>
    <w:rsid w:val="00EE78AD"/>
    <w:rsid w:val="00EF2173"/>
    <w:rsid w:val="00EF661F"/>
    <w:rsid w:val="00EF6B51"/>
    <w:rsid w:val="00EF72C0"/>
    <w:rsid w:val="00F009B9"/>
    <w:rsid w:val="00F01A50"/>
    <w:rsid w:val="00F04CCB"/>
    <w:rsid w:val="00F0634C"/>
    <w:rsid w:val="00F13CEF"/>
    <w:rsid w:val="00F166E6"/>
    <w:rsid w:val="00F20469"/>
    <w:rsid w:val="00F20977"/>
    <w:rsid w:val="00F315BD"/>
    <w:rsid w:val="00F31FBE"/>
    <w:rsid w:val="00F34675"/>
    <w:rsid w:val="00F36B4B"/>
    <w:rsid w:val="00F4012A"/>
    <w:rsid w:val="00F40A09"/>
    <w:rsid w:val="00F4183F"/>
    <w:rsid w:val="00F43014"/>
    <w:rsid w:val="00F44553"/>
    <w:rsid w:val="00F47184"/>
    <w:rsid w:val="00F47479"/>
    <w:rsid w:val="00F47552"/>
    <w:rsid w:val="00F50341"/>
    <w:rsid w:val="00F51AB3"/>
    <w:rsid w:val="00F5345F"/>
    <w:rsid w:val="00F61F5E"/>
    <w:rsid w:val="00F709E2"/>
    <w:rsid w:val="00F74B50"/>
    <w:rsid w:val="00F76551"/>
    <w:rsid w:val="00F7788E"/>
    <w:rsid w:val="00F9026E"/>
    <w:rsid w:val="00F90602"/>
    <w:rsid w:val="00F913CD"/>
    <w:rsid w:val="00F94A62"/>
    <w:rsid w:val="00F95BA4"/>
    <w:rsid w:val="00FA1C12"/>
    <w:rsid w:val="00FA1F65"/>
    <w:rsid w:val="00FA488B"/>
    <w:rsid w:val="00FA62B1"/>
    <w:rsid w:val="00FB301C"/>
    <w:rsid w:val="00FB4FBF"/>
    <w:rsid w:val="00FB6110"/>
    <w:rsid w:val="00FC20A0"/>
    <w:rsid w:val="00FD1C27"/>
    <w:rsid w:val="00FD38DE"/>
    <w:rsid w:val="00FD4301"/>
    <w:rsid w:val="00FD54BB"/>
    <w:rsid w:val="00FD603B"/>
    <w:rsid w:val="00FE2769"/>
    <w:rsid w:val="00FE31A2"/>
    <w:rsid w:val="00FE3900"/>
    <w:rsid w:val="00FE3A06"/>
    <w:rsid w:val="00FE711A"/>
    <w:rsid w:val="00FF0554"/>
    <w:rsid w:val="00FF1F67"/>
    <w:rsid w:val="00FF4AFD"/>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D6A33"/>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77E5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7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3077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77E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iPriority w:val="99"/>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aliases w:val="No Indent"/>
    <w:link w:val="NoSpacingChar"/>
    <w:uiPriority w:val="1"/>
    <w:qFormat/>
    <w:rsid w:val="00FB301C"/>
    <w:pPr>
      <w:spacing w:after="0" w:line="240" w:lineRule="auto"/>
    </w:pPr>
    <w:rPr>
      <w:rFonts w:ascii="Arial" w:hAnsi="Arial"/>
      <w:lang w:val="en-GB"/>
    </w:rPr>
  </w:style>
  <w:style w:type="character" w:customStyle="1" w:styleId="NoSpacingChar">
    <w:name w:val="No Spacing Char"/>
    <w:aliases w:val="No Indent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qFormat/>
    <w:rsid w:val="00866672"/>
    <w:pPr>
      <w:widowControl/>
      <w:overflowPunct w:val="0"/>
      <w:adjustRightInd w:val="0"/>
      <w:spacing w:line="480" w:lineRule="auto"/>
      <w:ind w:firstLine="720"/>
    </w:pPr>
    <w:rPr>
      <w:szCs w:val="20"/>
      <w:lang w:bidi="ar-SA"/>
    </w:rPr>
  </w:style>
  <w:style w:type="character" w:customStyle="1" w:styleId="APAChar">
    <w:name w:val="APA Char"/>
    <w:basedOn w:val="BodyTextChar"/>
    <w:link w:val="APA"/>
    <w:rsid w:val="003D173D"/>
    <w:rPr>
      <w:rFonts w:ascii="Times New Roman" w:eastAsia="Times New Roman" w:hAnsi="Times New Roman" w:cs="Times New Roman"/>
      <w:sz w:val="24"/>
      <w:szCs w:val="20"/>
      <w:lang w:bidi="en-US"/>
    </w:rPr>
  </w:style>
  <w:style w:type="paragraph" w:customStyle="1" w:styleId="APAReference">
    <w:name w:val="APA Reference"/>
    <w:basedOn w:val="Normal"/>
    <w:qFormat/>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hotkey-layer">
    <w:name w:val="hotkey-layer"/>
    <w:basedOn w:val="DefaultParagraphFont"/>
    <w:rsid w:val="00AF69EF"/>
  </w:style>
  <w:style w:type="character" w:customStyle="1" w:styleId="a-size-large">
    <w:name w:val="a-size-large"/>
    <w:rsid w:val="00AF69EF"/>
  </w:style>
  <w:style w:type="paragraph" w:customStyle="1" w:styleId="APAAbstract">
    <w:name w:val="APA Abstract"/>
    <w:basedOn w:val="APA"/>
    <w:rsid w:val="003D173D"/>
    <w:pPr>
      <w:overflowPunct/>
      <w:autoSpaceDE/>
      <w:autoSpaceDN/>
      <w:adjustRightInd/>
      <w:ind w:firstLine="0"/>
    </w:pPr>
    <w:rPr>
      <w:szCs w:val="24"/>
    </w:rPr>
  </w:style>
  <w:style w:type="paragraph" w:customStyle="1" w:styleId="APAHeadingCenter">
    <w:name w:val="APA Heading Center"/>
    <w:basedOn w:val="APA"/>
    <w:rsid w:val="003D173D"/>
    <w:pPr>
      <w:overflowPunct/>
      <w:autoSpaceDE/>
      <w:autoSpaceDN/>
      <w:adjustRightInd/>
      <w:ind w:firstLine="0"/>
      <w:jc w:val="center"/>
    </w:pPr>
    <w:rPr>
      <w:szCs w:val="24"/>
    </w:rPr>
  </w:style>
  <w:style w:type="paragraph" w:customStyle="1" w:styleId="APAPageHeading">
    <w:name w:val="APA Page Heading"/>
    <w:basedOn w:val="APA"/>
    <w:rsid w:val="003D173D"/>
    <w:pPr>
      <w:tabs>
        <w:tab w:val="right" w:pos="9360"/>
      </w:tabs>
      <w:overflowPunct/>
      <w:autoSpaceDE/>
      <w:autoSpaceDN/>
      <w:adjustRightInd/>
      <w:ind w:firstLine="0"/>
    </w:pPr>
    <w:rPr>
      <w:szCs w:val="24"/>
    </w:rPr>
  </w:style>
  <w:style w:type="character" w:styleId="PlaceholderText">
    <w:name w:val="Placeholder Text"/>
    <w:basedOn w:val="DefaultParagraphFont"/>
    <w:uiPriority w:val="99"/>
    <w:semiHidden/>
    <w:rsid w:val="003D173D"/>
    <w:rPr>
      <w:color w:val="808080"/>
    </w:rPr>
  </w:style>
  <w:style w:type="paragraph" w:customStyle="1" w:styleId="APAReferenceSectionHeading">
    <w:name w:val="APA Reference Section Heading"/>
    <w:basedOn w:val="APAHeadingCenter"/>
    <w:next w:val="APAReference"/>
    <w:rsid w:val="003D173D"/>
    <w:pPr>
      <w:outlineLvl w:val="0"/>
    </w:pPr>
    <w:rPr>
      <w:b/>
    </w:rPr>
  </w:style>
  <w:style w:type="paragraph" w:customStyle="1" w:styleId="APATitle">
    <w:name w:val="APA Title"/>
    <w:basedOn w:val="APAHeadingCenter"/>
    <w:rsid w:val="003D173D"/>
    <w:rPr>
      <w:b/>
    </w:rPr>
  </w:style>
  <w:style w:type="paragraph" w:customStyle="1" w:styleId="APAFirstPageTitle">
    <w:name w:val="APA First Page Title"/>
    <w:basedOn w:val="Normal"/>
    <w:next w:val="APA"/>
    <w:rsid w:val="003D173D"/>
    <w:pPr>
      <w:spacing w:line="480" w:lineRule="auto"/>
      <w:jc w:val="center"/>
      <w:outlineLvl w:val="0"/>
    </w:pPr>
    <w:rPr>
      <w:b/>
    </w:rPr>
  </w:style>
  <w:style w:type="paragraph" w:customStyle="1" w:styleId="APAAbstractHeader">
    <w:name w:val="APA Abstract Header"/>
    <w:basedOn w:val="APAHeadingCenter"/>
    <w:next w:val="APAAbstract"/>
    <w:rsid w:val="003D173D"/>
    <w:rPr>
      <w:b/>
    </w:rPr>
  </w:style>
  <w:style w:type="table" w:customStyle="1" w:styleId="TableGrid0">
    <w:name w:val="TableGrid"/>
    <w:rsid w:val="0097321B"/>
    <w:pPr>
      <w:spacing w:after="0" w:line="240" w:lineRule="auto"/>
    </w:pPr>
    <w:rPr>
      <w:rFonts w:eastAsiaTheme="minorEastAsia"/>
    </w:rPr>
    <w:tblPr>
      <w:tblCellMar>
        <w:top w:w="0" w:type="dxa"/>
        <w:left w:w="0" w:type="dxa"/>
        <w:bottom w:w="0" w:type="dxa"/>
        <w:right w:w="0" w:type="dxa"/>
      </w:tblCellMar>
    </w:tblPr>
  </w:style>
  <w:style w:type="character" w:customStyle="1" w:styleId="cit">
    <w:name w:val="cit"/>
    <w:basedOn w:val="DefaultParagraphFont"/>
    <w:rsid w:val="00777E51"/>
  </w:style>
  <w:style w:type="character" w:customStyle="1" w:styleId="title-text">
    <w:name w:val="title-text"/>
    <w:basedOn w:val="DefaultParagraphFont"/>
    <w:rsid w:val="00777E51"/>
  </w:style>
  <w:style w:type="paragraph" w:customStyle="1" w:styleId="p">
    <w:name w:val="p"/>
    <w:basedOn w:val="Normal"/>
    <w:rsid w:val="00B93741"/>
    <w:pPr>
      <w:spacing w:before="100" w:beforeAutospacing="1" w:after="100" w:afterAutospacing="1"/>
    </w:pPr>
  </w:style>
  <w:style w:type="character" w:customStyle="1" w:styleId="markedcontent">
    <w:name w:val="markedcontent"/>
    <w:basedOn w:val="DefaultParagraphFont"/>
    <w:rsid w:val="00CB2EEA"/>
  </w:style>
  <w:style w:type="character" w:customStyle="1" w:styleId="hgkelc">
    <w:name w:val="hgkelc"/>
    <w:basedOn w:val="DefaultParagraphFont"/>
    <w:rsid w:val="00CB2EEA"/>
  </w:style>
  <w:style w:type="character" w:customStyle="1" w:styleId="element-citation">
    <w:name w:val="element-citation"/>
    <w:basedOn w:val="DefaultParagraphFont"/>
    <w:rsid w:val="00CB2EEA"/>
  </w:style>
  <w:style w:type="paragraph" w:styleId="Title">
    <w:name w:val="Title"/>
    <w:basedOn w:val="Normal"/>
    <w:next w:val="Normal"/>
    <w:link w:val="TitleChar"/>
    <w:qFormat/>
    <w:rsid w:val="00863B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BA6"/>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942C8"/>
    <w:pPr>
      <w:spacing w:after="200"/>
    </w:pPr>
    <w:rPr>
      <w:rFonts w:asciiTheme="minorHAnsi" w:eastAsiaTheme="minorHAnsi" w:hAnsiTheme="minorHAnsi" w:cstheme="minorBidi"/>
      <w:i/>
      <w:iCs/>
      <w:color w:val="1F497D" w:themeColor="text2"/>
      <w:sz w:val="18"/>
      <w:szCs w:val="18"/>
    </w:rPr>
  </w:style>
  <w:style w:type="paragraph" w:styleId="TOCHeading">
    <w:name w:val="TOC Heading"/>
    <w:basedOn w:val="Heading1"/>
    <w:next w:val="Normal"/>
    <w:uiPriority w:val="39"/>
    <w:unhideWhenUsed/>
    <w:qFormat/>
    <w:rsid w:val="003F42A0"/>
    <w:pPr>
      <w:spacing w:line="259" w:lineRule="auto"/>
      <w:outlineLvl w:val="9"/>
    </w:pPr>
  </w:style>
  <w:style w:type="character" w:customStyle="1" w:styleId="normaltextrun">
    <w:name w:val="normaltextrun"/>
    <w:basedOn w:val="DefaultParagraphFont"/>
    <w:rsid w:val="00BE368A"/>
  </w:style>
  <w:style w:type="paragraph" w:customStyle="1" w:styleId="paragraph0">
    <w:name w:val="paragraph"/>
    <w:basedOn w:val="Normal"/>
    <w:rsid w:val="00BE368A"/>
    <w:pPr>
      <w:spacing w:before="100" w:beforeAutospacing="1" w:after="100" w:afterAutospacing="1"/>
    </w:pPr>
  </w:style>
  <w:style w:type="character" w:customStyle="1" w:styleId="eop">
    <w:name w:val="eop"/>
    <w:basedOn w:val="DefaultParagraphFont"/>
    <w:rsid w:val="00BE368A"/>
  </w:style>
  <w:style w:type="paragraph" w:styleId="Revision">
    <w:name w:val="Revision"/>
    <w:hidden/>
    <w:uiPriority w:val="99"/>
    <w:semiHidden/>
    <w:rsid w:val="00C6461D"/>
    <w:pPr>
      <w:spacing w:after="0" w:line="240" w:lineRule="auto"/>
    </w:pPr>
  </w:style>
  <w:style w:type="paragraph" w:styleId="BodyTextIndent">
    <w:name w:val="Body Text Indent"/>
    <w:basedOn w:val="Normal"/>
    <w:link w:val="BodyTextIndentChar"/>
    <w:uiPriority w:val="99"/>
    <w:semiHidden/>
    <w:unhideWhenUsed/>
    <w:rsid w:val="00DD4955"/>
    <w:pPr>
      <w:spacing w:after="120"/>
      <w:ind w:left="360"/>
    </w:pPr>
  </w:style>
  <w:style w:type="character" w:customStyle="1" w:styleId="BodyTextIndentChar">
    <w:name w:val="Body Text Indent Char"/>
    <w:basedOn w:val="DefaultParagraphFont"/>
    <w:link w:val="BodyTextIndent"/>
    <w:uiPriority w:val="99"/>
    <w:semiHidden/>
    <w:rsid w:val="00DD4955"/>
    <w:rPr>
      <w:rFonts w:ascii="Times New Roman" w:eastAsia="Times New Roman" w:hAnsi="Times New Roman" w:cs="Times New Roman"/>
      <w:sz w:val="24"/>
      <w:szCs w:val="24"/>
    </w:rPr>
  </w:style>
  <w:style w:type="table" w:styleId="PlainTable2">
    <w:name w:val="Plain Table 2"/>
    <w:basedOn w:val="TableNormal"/>
    <w:uiPriority w:val="42"/>
    <w:rsid w:val="00DD49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67848383">
      <w:bodyDiv w:val="1"/>
      <w:marLeft w:val="0"/>
      <w:marRight w:val="0"/>
      <w:marTop w:val="0"/>
      <w:marBottom w:val="0"/>
      <w:divBdr>
        <w:top w:val="none" w:sz="0" w:space="0" w:color="auto"/>
        <w:left w:val="none" w:sz="0" w:space="0" w:color="auto"/>
        <w:bottom w:val="none" w:sz="0" w:space="0" w:color="auto"/>
        <w:right w:val="none" w:sz="0" w:space="0" w:color="auto"/>
      </w:divBdr>
    </w:div>
    <w:div w:id="550457737">
      <w:bodyDiv w:val="1"/>
      <w:marLeft w:val="0"/>
      <w:marRight w:val="0"/>
      <w:marTop w:val="0"/>
      <w:marBottom w:val="0"/>
      <w:divBdr>
        <w:top w:val="none" w:sz="0" w:space="0" w:color="auto"/>
        <w:left w:val="none" w:sz="0" w:space="0" w:color="auto"/>
        <w:bottom w:val="none" w:sz="0" w:space="0" w:color="auto"/>
        <w:right w:val="none" w:sz="0" w:space="0" w:color="auto"/>
      </w:divBdr>
    </w:div>
    <w:div w:id="857277741">
      <w:bodyDiv w:val="1"/>
      <w:marLeft w:val="0"/>
      <w:marRight w:val="0"/>
      <w:marTop w:val="0"/>
      <w:marBottom w:val="0"/>
      <w:divBdr>
        <w:top w:val="none" w:sz="0" w:space="0" w:color="auto"/>
        <w:left w:val="none" w:sz="0" w:space="0" w:color="auto"/>
        <w:bottom w:val="none" w:sz="0" w:space="0" w:color="auto"/>
        <w:right w:val="none" w:sz="0" w:space="0" w:color="auto"/>
      </w:divBdr>
    </w:div>
    <w:div w:id="1186479982">
      <w:bodyDiv w:val="1"/>
      <w:marLeft w:val="0"/>
      <w:marRight w:val="0"/>
      <w:marTop w:val="0"/>
      <w:marBottom w:val="0"/>
      <w:divBdr>
        <w:top w:val="none" w:sz="0" w:space="0" w:color="auto"/>
        <w:left w:val="none" w:sz="0" w:space="0" w:color="auto"/>
        <w:bottom w:val="none" w:sz="0" w:space="0" w:color="auto"/>
        <w:right w:val="none" w:sz="0" w:space="0" w:color="auto"/>
      </w:divBdr>
    </w:div>
    <w:div w:id="1746224697">
      <w:bodyDiv w:val="1"/>
      <w:marLeft w:val="0"/>
      <w:marRight w:val="0"/>
      <w:marTop w:val="0"/>
      <w:marBottom w:val="0"/>
      <w:divBdr>
        <w:top w:val="none" w:sz="0" w:space="0" w:color="auto"/>
        <w:left w:val="none" w:sz="0" w:space="0" w:color="auto"/>
        <w:bottom w:val="none" w:sz="0" w:space="0" w:color="auto"/>
        <w:right w:val="none" w:sz="0" w:space="0" w:color="auto"/>
      </w:divBdr>
    </w:div>
    <w:div w:id="183356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4654083/" TargetMode="External"/><Relationship Id="rId18" Type="http://schemas.openxmlformats.org/officeDocument/2006/relationships/hyperlink" Target="https://pubmed.ncbi.nlm.nih.gov/31706360/" TargetMode="External"/><Relationship Id="rId26" Type="http://schemas.openxmlformats.org/officeDocument/2006/relationships/hyperlink" Target="https://pubmed.ncbi.nlm.nih.gov/12457045/" TargetMode="External"/><Relationship Id="rId3" Type="http://schemas.openxmlformats.org/officeDocument/2006/relationships/settings" Target="settings.xml"/><Relationship Id="rId21" Type="http://schemas.openxmlformats.org/officeDocument/2006/relationships/hyperlink" Target="https://pubmed.ncbi.nlm.nih.gov/32960646/"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pubmed.ncbi.nlm.nih.gov/20202948/" TargetMode="External"/><Relationship Id="rId17" Type="http://schemas.openxmlformats.org/officeDocument/2006/relationships/hyperlink" Target="https://pubmed.ncbi.nlm.nih.gov/29257983/" TargetMode="External"/><Relationship Id="rId25" Type="http://schemas.openxmlformats.org/officeDocument/2006/relationships/hyperlink" Target="https://pubmed.ncbi.nlm.nih.gov/12904855/"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ubmed.ncbi.nlm.nih.gov/25663416/" TargetMode="External"/><Relationship Id="rId20" Type="http://schemas.openxmlformats.org/officeDocument/2006/relationships/hyperlink" Target="https://www.researchgate.net/publication/332060084_Dysphagia_in_the_intensive_care_unit_Epidemiology_mechanisms_and_clinical_management" TargetMode="External"/><Relationship Id="rId29" Type="http://schemas.openxmlformats.org/officeDocument/2006/relationships/hyperlink" Target="https://www.ncbi.nlm.nih.gov/pmc/articles/PMC71553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29023260/" TargetMode="External"/><Relationship Id="rId24" Type="http://schemas.openxmlformats.org/officeDocument/2006/relationships/hyperlink" Target="https://pubmed.ncbi.nlm.nih.gov/26215724/" TargetMode="External"/><Relationship Id="rId32" Type="http://schemas.openxmlformats.org/officeDocument/2006/relationships/hyperlink" Target="https://pubmed.ncbi.nlm.nih.gov/20392703/" TargetMode="External"/><Relationship Id="rId5" Type="http://schemas.openxmlformats.org/officeDocument/2006/relationships/footnotes" Target="footnotes.xml"/><Relationship Id="rId15" Type="http://schemas.openxmlformats.org/officeDocument/2006/relationships/hyperlink" Target="https://www.ncbi.nlm.nih.gov/pmc/articles/PMC5773439/" TargetMode="External"/><Relationship Id="rId23" Type="http://schemas.openxmlformats.org/officeDocument/2006/relationships/hyperlink" Target="https://pubmed.ncbi.nlm.nih.gov/30043081/" TargetMode="External"/><Relationship Id="rId28" Type="http://schemas.openxmlformats.org/officeDocument/2006/relationships/hyperlink" Target="https://onlinelibrary.wiley.com/doi/10.1111/ggi.13591" TargetMode="External"/><Relationship Id="rId10" Type="http://schemas.openxmlformats.org/officeDocument/2006/relationships/hyperlink" Target="https://pubmed.ncbi.nlm.nih.gov/32171076/" TargetMode="External"/><Relationship Id="rId19" Type="http://schemas.openxmlformats.org/officeDocument/2006/relationships/hyperlink" Target="https://pubmed.ncbi.nlm.nih.gov/19399206/" TargetMode="External"/><Relationship Id="rId31" Type="http://schemas.openxmlformats.org/officeDocument/2006/relationships/hyperlink" Target="https://pubmed.ncbi.nlm.nih.gov/25729176/" TargetMode="External"/><Relationship Id="rId4" Type="http://schemas.openxmlformats.org/officeDocument/2006/relationships/webSettings" Target="webSettings.xml"/><Relationship Id="rId9" Type="http://schemas.openxmlformats.org/officeDocument/2006/relationships/hyperlink" Target="https://jamanetwork.com/journals/jama/fullarticle/2761044" TargetMode="External"/><Relationship Id="rId14" Type="http://schemas.openxmlformats.org/officeDocument/2006/relationships/hyperlink" Target="https://pubmed.ncbi.nlm.nih.gov/30694412/" TargetMode="External"/><Relationship Id="rId22" Type="http://schemas.openxmlformats.org/officeDocument/2006/relationships/hyperlink" Target="https://pubmed.ncbi.nlm.nih.gov/27115679/" TargetMode="External"/><Relationship Id="rId27" Type="http://schemas.openxmlformats.org/officeDocument/2006/relationships/hyperlink" Target="https://pubmed.ncbi.nlm.nih.gov/31011104/" TargetMode="External"/><Relationship Id="rId30" Type="http://schemas.openxmlformats.org/officeDocument/2006/relationships/hyperlink" Target="https://www.ncbi.nlm.nih.gov/pmc/articles/PMC4248414/" TargetMode="External"/><Relationship Id="rId35" Type="http://schemas.openxmlformats.org/officeDocument/2006/relationships/theme" Target="theme/theme1.xml"/><Relationship Id="rId8" Type="http://schemas.openxmlformats.org/officeDocument/2006/relationships/hyperlink" Target="https://www.nejm.org/doi/full/10.1056/nejmoa20020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8</Pages>
  <Words>4755</Words>
  <Characters>27107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Charanteja Lucky</cp:lastModifiedBy>
  <cp:revision>386</cp:revision>
  <dcterms:created xsi:type="dcterms:W3CDTF">2021-09-14T13:08:00Z</dcterms:created>
  <dcterms:modified xsi:type="dcterms:W3CDTF">2021-10-08T17:57:00Z</dcterms:modified>
</cp:coreProperties>
</file>