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86885" w14:textId="77777777" w:rsidR="00AA54BD" w:rsidRPr="00814B2F" w:rsidRDefault="00AA54BD" w:rsidP="00AA54BD">
      <w:pPr>
        <w:contextualSpacing/>
        <w:mirrorIndents/>
        <w:jc w:val="both"/>
        <w:rPr>
          <w:b/>
          <w:sz w:val="22"/>
          <w:szCs w:val="22"/>
        </w:rPr>
      </w:pPr>
      <w:r w:rsidRPr="00814B2F">
        <w:rPr>
          <w:b/>
          <w:sz w:val="22"/>
          <w:szCs w:val="22"/>
        </w:rPr>
        <w:t>Case Report</w:t>
      </w:r>
    </w:p>
    <w:p w14:paraId="2A8E9E3E" w14:textId="77777777" w:rsidR="00AA54BD" w:rsidRPr="00814B2F" w:rsidRDefault="00AA54BD" w:rsidP="00AA54BD">
      <w:pPr>
        <w:contextualSpacing/>
        <w:mirrorIndents/>
        <w:jc w:val="both"/>
        <w:rPr>
          <w:sz w:val="20"/>
          <w:szCs w:val="20"/>
        </w:rPr>
      </w:pPr>
    </w:p>
    <w:p w14:paraId="3B4CFE16" w14:textId="77777777" w:rsidR="00936ED1" w:rsidRPr="0056163D" w:rsidRDefault="00936ED1" w:rsidP="00936ED1">
      <w:pPr>
        <w:contextualSpacing/>
        <w:mirrorIndents/>
        <w:jc w:val="center"/>
        <w:rPr>
          <w:b/>
          <w:sz w:val="30"/>
          <w:szCs w:val="30"/>
        </w:rPr>
      </w:pPr>
      <w:r w:rsidRPr="0056163D">
        <w:rPr>
          <w:b/>
          <w:sz w:val="30"/>
          <w:szCs w:val="30"/>
        </w:rPr>
        <w:t>Gouty Tendonitis of the Hand: An Algorithmic Approach</w:t>
      </w:r>
    </w:p>
    <w:p w14:paraId="51BF07B9" w14:textId="77777777" w:rsidR="00AA54BD" w:rsidRPr="00814B2F" w:rsidRDefault="00AA54BD" w:rsidP="00AA54BD">
      <w:pPr>
        <w:contextualSpacing/>
        <w:mirrorIndents/>
        <w:jc w:val="both"/>
        <w:rPr>
          <w:sz w:val="20"/>
          <w:szCs w:val="20"/>
        </w:rPr>
      </w:pPr>
    </w:p>
    <w:p w14:paraId="28983281" w14:textId="032FEDA6" w:rsidR="00AA54BD" w:rsidRPr="00814B2F" w:rsidRDefault="00303E0D" w:rsidP="00AA54BD">
      <w:pPr>
        <w:contextualSpacing/>
        <w:mirrorIndents/>
        <w:jc w:val="both"/>
        <w:rPr>
          <w:b/>
          <w:sz w:val="22"/>
          <w:szCs w:val="22"/>
        </w:rPr>
      </w:pPr>
      <w:r>
        <w:rPr>
          <w:b/>
          <w:sz w:val="22"/>
          <w:szCs w:val="22"/>
        </w:rPr>
        <w:t xml:space="preserve">Irene T. Ma </w:t>
      </w:r>
      <w:r w:rsidR="00E176C5" w:rsidRPr="00E176C5">
        <w:rPr>
          <w:b/>
          <w:sz w:val="22"/>
          <w:szCs w:val="22"/>
        </w:rPr>
        <w:t>MD</w:t>
      </w:r>
      <w:r w:rsidR="00E176C5" w:rsidRPr="00E20491">
        <w:rPr>
          <w:b/>
          <w:color w:val="FF0000"/>
          <w:sz w:val="22"/>
          <w:szCs w:val="22"/>
          <w:vertAlign w:val="superscript"/>
        </w:rPr>
        <w:t>1</w:t>
      </w:r>
      <w:r w:rsidR="00164931">
        <w:rPr>
          <w:b/>
          <w:sz w:val="22"/>
          <w:szCs w:val="22"/>
        </w:rPr>
        <w:t>,</w:t>
      </w:r>
      <w:r>
        <w:rPr>
          <w:b/>
          <w:sz w:val="22"/>
          <w:szCs w:val="22"/>
        </w:rPr>
        <w:t xml:space="preserve"> </w:t>
      </w:r>
      <w:r w:rsidR="00C56380">
        <w:rPr>
          <w:rFonts w:ascii="Times New Roman Bold" w:eastAsiaTheme="minorHAnsi" w:hAnsi="Times New Roman Bold" w:cs="Times New Roman Bold"/>
          <w:b/>
          <w:bCs/>
        </w:rPr>
        <w:t>Justine S. Kim</w:t>
      </w:r>
      <w:r w:rsidR="00C56380" w:rsidRPr="00C56380">
        <w:rPr>
          <w:rFonts w:ascii="Times New Roman Bold" w:eastAsiaTheme="minorHAnsi" w:hAnsi="Times New Roman Bold" w:cs="Times New Roman Bold"/>
          <w:b/>
          <w:bCs/>
          <w:color w:val="FF0000"/>
          <w:sz w:val="22"/>
          <w:szCs w:val="22"/>
          <w:vertAlign w:val="superscript"/>
        </w:rPr>
        <w:t>1</w:t>
      </w:r>
      <w:r w:rsidR="00C56380">
        <w:rPr>
          <w:rFonts w:ascii="Times New Roman Bold" w:eastAsiaTheme="minorHAnsi" w:hAnsi="Times New Roman Bold" w:cs="Times New Roman Bold"/>
          <w:b/>
          <w:bCs/>
        </w:rPr>
        <w:t>,</w:t>
      </w:r>
      <w:r w:rsidR="00C56380">
        <w:rPr>
          <w:rFonts w:ascii="Times New Roman Bold" w:eastAsiaTheme="minorHAnsi" w:hAnsi="Times New Roman Bold" w:cs="Times New Roman Bold"/>
          <w:b/>
          <w:bCs/>
        </w:rPr>
        <w:t xml:space="preserve"> </w:t>
      </w:r>
      <w:r>
        <w:rPr>
          <w:b/>
          <w:sz w:val="22"/>
          <w:szCs w:val="22"/>
        </w:rPr>
        <w:t>Debra A. Bourne</w:t>
      </w:r>
      <w:r w:rsidR="00E176C5" w:rsidRPr="00E176C5">
        <w:rPr>
          <w:b/>
          <w:sz w:val="22"/>
          <w:szCs w:val="22"/>
        </w:rPr>
        <w:t xml:space="preserve"> MD</w:t>
      </w:r>
      <w:r w:rsidR="00E176C5" w:rsidRPr="00E20491">
        <w:rPr>
          <w:b/>
          <w:color w:val="FF0000"/>
          <w:sz w:val="22"/>
          <w:szCs w:val="22"/>
          <w:vertAlign w:val="superscript"/>
        </w:rPr>
        <w:t>2</w:t>
      </w:r>
      <w:r w:rsidR="001962A0">
        <w:rPr>
          <w:b/>
          <w:sz w:val="22"/>
          <w:szCs w:val="22"/>
        </w:rPr>
        <w:t>,</w:t>
      </w:r>
      <w:r w:rsidR="00E176C5" w:rsidRPr="00E176C5">
        <w:rPr>
          <w:b/>
          <w:sz w:val="22"/>
          <w:szCs w:val="22"/>
        </w:rPr>
        <w:t xml:space="preserve"> Alexander M. </w:t>
      </w:r>
      <w:proofErr w:type="spellStart"/>
      <w:r w:rsidR="00E176C5" w:rsidRPr="00E176C5">
        <w:rPr>
          <w:b/>
          <w:sz w:val="22"/>
          <w:szCs w:val="22"/>
        </w:rPr>
        <w:t>Spiess</w:t>
      </w:r>
      <w:proofErr w:type="spellEnd"/>
      <w:r w:rsidR="00E176C5" w:rsidRPr="00E176C5">
        <w:rPr>
          <w:b/>
          <w:sz w:val="22"/>
          <w:szCs w:val="22"/>
        </w:rPr>
        <w:t xml:space="preserve"> MD</w:t>
      </w:r>
      <w:r w:rsidR="00E176C5" w:rsidRPr="00E20491">
        <w:rPr>
          <w:b/>
          <w:color w:val="FF0000"/>
          <w:sz w:val="22"/>
          <w:szCs w:val="22"/>
          <w:vertAlign w:val="superscript"/>
        </w:rPr>
        <w:t>1</w:t>
      </w:r>
      <w:r w:rsidR="00920E70">
        <w:rPr>
          <w:b/>
          <w:sz w:val="22"/>
          <w:szCs w:val="22"/>
        </w:rPr>
        <w:t>,</w:t>
      </w:r>
      <w:r w:rsidR="00E176C5" w:rsidRPr="00E176C5">
        <w:rPr>
          <w:b/>
          <w:sz w:val="22"/>
          <w:szCs w:val="22"/>
        </w:rPr>
        <w:t xml:space="preserve"> Joseph E. </w:t>
      </w:r>
      <w:proofErr w:type="spellStart"/>
      <w:r w:rsidR="00E176C5" w:rsidRPr="00E176C5">
        <w:rPr>
          <w:b/>
          <w:sz w:val="22"/>
          <w:szCs w:val="22"/>
        </w:rPr>
        <w:t>Imbriglia</w:t>
      </w:r>
      <w:proofErr w:type="spellEnd"/>
      <w:r w:rsidR="00E176C5" w:rsidRPr="00E176C5">
        <w:rPr>
          <w:b/>
          <w:sz w:val="22"/>
          <w:szCs w:val="22"/>
        </w:rPr>
        <w:t xml:space="preserve"> MD </w:t>
      </w:r>
      <w:r w:rsidR="00E176C5" w:rsidRPr="00E20491">
        <w:rPr>
          <w:b/>
          <w:color w:val="FF0000"/>
          <w:sz w:val="22"/>
          <w:szCs w:val="22"/>
          <w:vertAlign w:val="superscript"/>
        </w:rPr>
        <w:t>1,3</w:t>
      </w:r>
    </w:p>
    <w:p w14:paraId="71D640B9" w14:textId="77777777" w:rsidR="00AA54BD" w:rsidRPr="00814B2F" w:rsidRDefault="00AA54BD" w:rsidP="00AA54BD">
      <w:pPr>
        <w:contextualSpacing/>
        <w:mirrorIndents/>
        <w:jc w:val="both"/>
        <w:rPr>
          <w:sz w:val="20"/>
          <w:szCs w:val="20"/>
        </w:rPr>
      </w:pPr>
      <w:bookmarkStart w:id="0" w:name="_GoBack"/>
      <w:bookmarkEnd w:id="0"/>
    </w:p>
    <w:p w14:paraId="4B8CFD1C" w14:textId="46D24B40" w:rsidR="005A6302" w:rsidRPr="005A6302" w:rsidRDefault="005A6302" w:rsidP="005A6302">
      <w:pPr>
        <w:contextualSpacing/>
        <w:mirrorIndents/>
        <w:jc w:val="both"/>
        <w:rPr>
          <w:sz w:val="20"/>
          <w:szCs w:val="20"/>
        </w:rPr>
      </w:pPr>
      <w:r w:rsidRPr="005A6302">
        <w:rPr>
          <w:color w:val="FF0000"/>
          <w:sz w:val="20"/>
          <w:szCs w:val="20"/>
          <w:vertAlign w:val="superscript"/>
        </w:rPr>
        <w:t>1</w:t>
      </w:r>
      <w:r w:rsidRPr="005A6302">
        <w:rPr>
          <w:sz w:val="20"/>
          <w:szCs w:val="20"/>
        </w:rPr>
        <w:t>Department of Plastic Surgery, University of Pittsburgh Medical Center, Pittsburgh, Pennsylvania</w:t>
      </w:r>
      <w:r w:rsidR="00D34BAC">
        <w:rPr>
          <w:sz w:val="20"/>
          <w:szCs w:val="20"/>
        </w:rPr>
        <w:t>, USA</w:t>
      </w:r>
    </w:p>
    <w:p w14:paraId="7AD6EE90" w14:textId="23D90B77" w:rsidR="005A6302" w:rsidRPr="005A6302" w:rsidRDefault="005A6302" w:rsidP="005A6302">
      <w:pPr>
        <w:contextualSpacing/>
        <w:mirrorIndents/>
        <w:jc w:val="both"/>
        <w:rPr>
          <w:sz w:val="20"/>
          <w:szCs w:val="20"/>
        </w:rPr>
      </w:pPr>
      <w:r w:rsidRPr="005A6302">
        <w:rPr>
          <w:color w:val="FF0000"/>
          <w:sz w:val="20"/>
          <w:szCs w:val="20"/>
          <w:vertAlign w:val="superscript"/>
        </w:rPr>
        <w:t>2</w:t>
      </w:r>
      <w:r w:rsidRPr="005A6302">
        <w:rPr>
          <w:sz w:val="20"/>
          <w:szCs w:val="20"/>
        </w:rPr>
        <w:t>Division of Plastic Surgery, University of Kentucky, Lexington, Kentucky</w:t>
      </w:r>
      <w:r w:rsidR="00D34BAC">
        <w:rPr>
          <w:sz w:val="20"/>
          <w:szCs w:val="20"/>
        </w:rPr>
        <w:t>, USA</w:t>
      </w:r>
    </w:p>
    <w:p w14:paraId="086A1C58" w14:textId="35327308" w:rsidR="005A6302" w:rsidRDefault="005A6302" w:rsidP="005A6302">
      <w:pPr>
        <w:contextualSpacing/>
        <w:mirrorIndents/>
        <w:jc w:val="both"/>
        <w:rPr>
          <w:sz w:val="20"/>
          <w:szCs w:val="20"/>
        </w:rPr>
      </w:pPr>
      <w:r w:rsidRPr="005A6302">
        <w:rPr>
          <w:color w:val="FF0000"/>
          <w:sz w:val="20"/>
          <w:szCs w:val="20"/>
          <w:vertAlign w:val="superscript"/>
        </w:rPr>
        <w:t>3</w:t>
      </w:r>
      <w:r w:rsidRPr="005A6302">
        <w:rPr>
          <w:sz w:val="20"/>
          <w:szCs w:val="20"/>
        </w:rPr>
        <w:t xml:space="preserve">Hand and </w:t>
      </w:r>
      <w:proofErr w:type="spellStart"/>
      <w:r w:rsidRPr="005A6302">
        <w:rPr>
          <w:sz w:val="20"/>
          <w:szCs w:val="20"/>
        </w:rPr>
        <w:t>UpperEx</w:t>
      </w:r>
      <w:proofErr w:type="spellEnd"/>
      <w:r w:rsidRPr="005A6302">
        <w:rPr>
          <w:sz w:val="20"/>
          <w:szCs w:val="20"/>
        </w:rPr>
        <w:t xml:space="preserve"> Center, Wexford, Pennsylvania</w:t>
      </w:r>
      <w:r w:rsidR="00426719">
        <w:rPr>
          <w:sz w:val="20"/>
          <w:szCs w:val="20"/>
        </w:rPr>
        <w:t>, USA</w:t>
      </w:r>
    </w:p>
    <w:p w14:paraId="6B73BA58" w14:textId="77777777" w:rsidR="00426719" w:rsidRPr="00814B2F" w:rsidRDefault="00426719" w:rsidP="005A6302">
      <w:pPr>
        <w:contextualSpacing/>
        <w:mirrorIndents/>
        <w:jc w:val="both"/>
        <w:rPr>
          <w:sz w:val="20"/>
          <w:szCs w:val="20"/>
        </w:rPr>
      </w:pPr>
    </w:p>
    <w:p w14:paraId="3202C35B" w14:textId="247B5B3E" w:rsidR="00AA54BD" w:rsidRDefault="00AA54BD" w:rsidP="00AA54BD">
      <w:pPr>
        <w:contextualSpacing/>
        <w:mirrorIndents/>
        <w:jc w:val="both"/>
        <w:rPr>
          <w:sz w:val="20"/>
          <w:szCs w:val="20"/>
        </w:rPr>
      </w:pPr>
      <w:r w:rsidRPr="00027434">
        <w:rPr>
          <w:b/>
          <w:color w:val="FF0000"/>
          <w:sz w:val="20"/>
          <w:szCs w:val="20"/>
          <w:vertAlign w:val="superscript"/>
        </w:rPr>
        <w:t>#</w:t>
      </w:r>
      <w:r w:rsidRPr="00814B2F">
        <w:rPr>
          <w:b/>
          <w:sz w:val="20"/>
          <w:szCs w:val="20"/>
        </w:rPr>
        <w:t>Corresponding author:</w:t>
      </w:r>
      <w:r w:rsidRPr="00814B2F">
        <w:rPr>
          <w:sz w:val="20"/>
          <w:szCs w:val="20"/>
        </w:rPr>
        <w:t xml:space="preserve"> </w:t>
      </w:r>
      <w:r w:rsidR="008C7E62" w:rsidRPr="008C7E62">
        <w:rPr>
          <w:sz w:val="20"/>
          <w:szCs w:val="20"/>
        </w:rPr>
        <w:t xml:space="preserve">Joseph E. </w:t>
      </w:r>
      <w:proofErr w:type="spellStart"/>
      <w:r w:rsidR="008C7E62" w:rsidRPr="008C7E62">
        <w:rPr>
          <w:sz w:val="20"/>
          <w:szCs w:val="20"/>
        </w:rPr>
        <w:t>Imbriglia</w:t>
      </w:r>
      <w:proofErr w:type="spellEnd"/>
      <w:r w:rsidR="002C7B1A">
        <w:rPr>
          <w:sz w:val="20"/>
          <w:szCs w:val="20"/>
        </w:rPr>
        <w:t xml:space="preserve">, </w:t>
      </w:r>
      <w:r w:rsidR="008C7E62" w:rsidRPr="008C7E62">
        <w:rPr>
          <w:sz w:val="20"/>
          <w:szCs w:val="20"/>
        </w:rPr>
        <w:t xml:space="preserve">Hand and </w:t>
      </w:r>
      <w:proofErr w:type="spellStart"/>
      <w:r w:rsidR="008C7E62" w:rsidRPr="008C7E62">
        <w:rPr>
          <w:sz w:val="20"/>
          <w:szCs w:val="20"/>
        </w:rPr>
        <w:t>UpperEx</w:t>
      </w:r>
      <w:proofErr w:type="spellEnd"/>
      <w:r w:rsidR="008C7E62" w:rsidRPr="008C7E62">
        <w:rPr>
          <w:sz w:val="20"/>
          <w:szCs w:val="20"/>
        </w:rPr>
        <w:t xml:space="preserve"> Center</w:t>
      </w:r>
      <w:r w:rsidR="00106013">
        <w:rPr>
          <w:sz w:val="20"/>
          <w:szCs w:val="20"/>
        </w:rPr>
        <w:t xml:space="preserve">, </w:t>
      </w:r>
      <w:r w:rsidR="008C7E62" w:rsidRPr="008C7E62">
        <w:rPr>
          <w:sz w:val="20"/>
          <w:szCs w:val="20"/>
        </w:rPr>
        <w:t xml:space="preserve">6001 </w:t>
      </w:r>
      <w:proofErr w:type="spellStart"/>
      <w:r w:rsidR="008C7E62" w:rsidRPr="008C7E62">
        <w:rPr>
          <w:sz w:val="20"/>
          <w:szCs w:val="20"/>
        </w:rPr>
        <w:t>Stonewood</w:t>
      </w:r>
      <w:proofErr w:type="spellEnd"/>
      <w:r w:rsidR="008C7E62" w:rsidRPr="008C7E62">
        <w:rPr>
          <w:sz w:val="20"/>
          <w:szCs w:val="20"/>
        </w:rPr>
        <w:t xml:space="preserve"> Drive, Wexford, </w:t>
      </w:r>
      <w:r w:rsidR="003570F1" w:rsidRPr="005A6302">
        <w:rPr>
          <w:sz w:val="20"/>
          <w:szCs w:val="20"/>
        </w:rPr>
        <w:t>Pennsylvania</w:t>
      </w:r>
      <w:r w:rsidR="003570F1" w:rsidRPr="008C7E62">
        <w:rPr>
          <w:sz w:val="20"/>
          <w:szCs w:val="20"/>
        </w:rPr>
        <w:t xml:space="preserve"> </w:t>
      </w:r>
      <w:r w:rsidR="00EF0B9A">
        <w:rPr>
          <w:sz w:val="20"/>
          <w:szCs w:val="20"/>
        </w:rPr>
        <w:t>15090, USA</w:t>
      </w:r>
    </w:p>
    <w:p w14:paraId="2B6826C7" w14:textId="77777777" w:rsidR="00EF0B9A" w:rsidRPr="00814B2F" w:rsidRDefault="00EF0B9A" w:rsidP="00AA54BD">
      <w:pPr>
        <w:contextualSpacing/>
        <w:mirrorIndents/>
        <w:jc w:val="both"/>
        <w:rPr>
          <w:sz w:val="20"/>
          <w:szCs w:val="20"/>
        </w:rPr>
      </w:pPr>
    </w:p>
    <w:p w14:paraId="2AAC4F02" w14:textId="0BB3F347" w:rsidR="00AA54BD" w:rsidRDefault="00AA54BD" w:rsidP="00AA54BD">
      <w:pPr>
        <w:contextualSpacing/>
        <w:mirrorIndents/>
        <w:jc w:val="both"/>
        <w:rPr>
          <w:sz w:val="20"/>
          <w:szCs w:val="20"/>
        </w:rPr>
      </w:pPr>
      <w:r w:rsidRPr="00814B2F">
        <w:rPr>
          <w:b/>
          <w:sz w:val="20"/>
          <w:szCs w:val="20"/>
        </w:rPr>
        <w:t>How to cite this article:</w:t>
      </w:r>
      <w:r w:rsidRPr="00814B2F">
        <w:rPr>
          <w:sz w:val="20"/>
          <w:szCs w:val="20"/>
        </w:rPr>
        <w:t xml:space="preserve"> </w:t>
      </w:r>
      <w:r w:rsidR="004A2CF6">
        <w:rPr>
          <w:sz w:val="20"/>
          <w:szCs w:val="20"/>
        </w:rPr>
        <w:t>Ma IT, Bourne DA,</w:t>
      </w:r>
      <w:r w:rsidR="00C06F3B" w:rsidRPr="00C06F3B">
        <w:rPr>
          <w:sz w:val="20"/>
          <w:szCs w:val="20"/>
        </w:rPr>
        <w:t xml:space="preserve"> </w:t>
      </w:r>
      <w:proofErr w:type="spellStart"/>
      <w:r w:rsidR="00C06F3B" w:rsidRPr="00C06F3B">
        <w:rPr>
          <w:sz w:val="20"/>
          <w:szCs w:val="20"/>
        </w:rPr>
        <w:t>Spiess</w:t>
      </w:r>
      <w:proofErr w:type="spellEnd"/>
      <w:r w:rsidR="004A2CF6">
        <w:rPr>
          <w:sz w:val="20"/>
          <w:szCs w:val="20"/>
        </w:rPr>
        <w:t xml:space="preserve"> AM, </w:t>
      </w:r>
      <w:proofErr w:type="spellStart"/>
      <w:r w:rsidR="004A2CF6">
        <w:rPr>
          <w:sz w:val="20"/>
          <w:szCs w:val="20"/>
        </w:rPr>
        <w:t>Imbriglia</w:t>
      </w:r>
      <w:proofErr w:type="spellEnd"/>
      <w:r w:rsidR="004A2CF6">
        <w:rPr>
          <w:sz w:val="20"/>
          <w:szCs w:val="20"/>
        </w:rPr>
        <w:t xml:space="preserve"> JE </w:t>
      </w:r>
      <w:r w:rsidRPr="00814B2F">
        <w:rPr>
          <w:sz w:val="20"/>
          <w:szCs w:val="20"/>
        </w:rPr>
        <w:t xml:space="preserve">(2021) </w:t>
      </w:r>
      <w:r w:rsidR="008B1C15" w:rsidRPr="008B1C15">
        <w:rPr>
          <w:sz w:val="20"/>
          <w:szCs w:val="20"/>
        </w:rPr>
        <w:t>Gouty Tendonitis of the Hand: An Algorithmic Approach</w:t>
      </w:r>
      <w:r w:rsidRPr="00814B2F">
        <w:rPr>
          <w:sz w:val="20"/>
          <w:szCs w:val="20"/>
        </w:rPr>
        <w:t xml:space="preserve">. </w:t>
      </w:r>
      <w:proofErr w:type="spellStart"/>
      <w:r w:rsidRPr="00814B2F">
        <w:rPr>
          <w:sz w:val="20"/>
          <w:szCs w:val="20"/>
        </w:rPr>
        <w:t>Int</w:t>
      </w:r>
      <w:proofErr w:type="spellEnd"/>
      <w:r w:rsidRPr="00814B2F">
        <w:rPr>
          <w:sz w:val="20"/>
          <w:szCs w:val="20"/>
        </w:rPr>
        <w:t xml:space="preserve"> J </w:t>
      </w:r>
      <w:proofErr w:type="spellStart"/>
      <w:r w:rsidRPr="00814B2F">
        <w:rPr>
          <w:sz w:val="20"/>
          <w:szCs w:val="20"/>
        </w:rPr>
        <w:t>Surg</w:t>
      </w:r>
      <w:proofErr w:type="spellEnd"/>
      <w:r w:rsidRPr="00814B2F">
        <w:rPr>
          <w:sz w:val="20"/>
          <w:szCs w:val="20"/>
        </w:rPr>
        <w:t xml:space="preserve"> and Repo 01(01</w:t>
      </w:r>
      <w:r w:rsidR="00AD78AF">
        <w:rPr>
          <w:sz w:val="20"/>
          <w:szCs w:val="20"/>
        </w:rPr>
        <w:t>): 2021-07</w:t>
      </w:r>
      <w:r w:rsidRPr="00814B2F">
        <w:rPr>
          <w:sz w:val="20"/>
          <w:szCs w:val="20"/>
        </w:rPr>
        <w:t>.</w:t>
      </w:r>
    </w:p>
    <w:p w14:paraId="118898CD" w14:textId="77777777" w:rsidR="0025693B" w:rsidRPr="00814B2F" w:rsidRDefault="0025693B" w:rsidP="00AA54BD">
      <w:pPr>
        <w:contextualSpacing/>
        <w:mirrorIndents/>
        <w:jc w:val="both"/>
        <w:rPr>
          <w:sz w:val="20"/>
          <w:szCs w:val="20"/>
        </w:rPr>
      </w:pPr>
    </w:p>
    <w:p w14:paraId="2F5FC87C" w14:textId="63C45857" w:rsidR="00AA54BD" w:rsidRPr="00814B2F" w:rsidRDefault="00AA54BD" w:rsidP="00AA54BD">
      <w:pPr>
        <w:contextualSpacing/>
        <w:mirrorIndents/>
        <w:jc w:val="both"/>
        <w:rPr>
          <w:sz w:val="20"/>
          <w:szCs w:val="20"/>
        </w:rPr>
      </w:pPr>
      <w:r w:rsidRPr="00814B2F">
        <w:rPr>
          <w:b/>
          <w:sz w:val="20"/>
          <w:szCs w:val="20"/>
        </w:rPr>
        <w:t>Submission Date:</w:t>
      </w:r>
      <w:r w:rsidRPr="00814B2F">
        <w:rPr>
          <w:sz w:val="20"/>
          <w:szCs w:val="20"/>
        </w:rPr>
        <w:t xml:space="preserve"> </w:t>
      </w:r>
      <w:r w:rsidR="00F770E1">
        <w:rPr>
          <w:sz w:val="20"/>
          <w:szCs w:val="20"/>
        </w:rPr>
        <w:t>29</w:t>
      </w:r>
      <w:r>
        <w:rPr>
          <w:sz w:val="20"/>
          <w:szCs w:val="20"/>
        </w:rPr>
        <w:t xml:space="preserve"> June</w:t>
      </w:r>
      <w:r w:rsidRPr="00814B2F">
        <w:rPr>
          <w:sz w:val="20"/>
          <w:szCs w:val="20"/>
        </w:rPr>
        <w:t xml:space="preserve">, 2021; </w:t>
      </w:r>
      <w:r w:rsidRPr="00814B2F">
        <w:rPr>
          <w:b/>
          <w:sz w:val="20"/>
          <w:szCs w:val="20"/>
        </w:rPr>
        <w:t>Accepted Date:</w:t>
      </w:r>
      <w:r w:rsidRPr="00814B2F">
        <w:rPr>
          <w:sz w:val="20"/>
          <w:szCs w:val="20"/>
        </w:rPr>
        <w:t xml:space="preserve"> </w:t>
      </w:r>
      <w:r w:rsidR="00E3441F">
        <w:rPr>
          <w:sz w:val="20"/>
          <w:szCs w:val="20"/>
        </w:rPr>
        <w:t>22</w:t>
      </w:r>
      <w:r>
        <w:rPr>
          <w:sz w:val="20"/>
          <w:szCs w:val="20"/>
        </w:rPr>
        <w:t xml:space="preserve"> July</w:t>
      </w:r>
      <w:r w:rsidRPr="00814B2F">
        <w:rPr>
          <w:sz w:val="20"/>
          <w:szCs w:val="20"/>
        </w:rPr>
        <w:t xml:space="preserve">, 2021; </w:t>
      </w:r>
      <w:r w:rsidRPr="00814B2F">
        <w:rPr>
          <w:b/>
          <w:sz w:val="20"/>
          <w:szCs w:val="20"/>
        </w:rPr>
        <w:t>Published Online:</w:t>
      </w:r>
      <w:r w:rsidR="00B331B4">
        <w:rPr>
          <w:sz w:val="20"/>
          <w:szCs w:val="20"/>
        </w:rPr>
        <w:t xml:space="preserve"> 28</w:t>
      </w:r>
      <w:r>
        <w:rPr>
          <w:sz w:val="20"/>
          <w:szCs w:val="20"/>
        </w:rPr>
        <w:t xml:space="preserve"> July</w:t>
      </w:r>
      <w:r w:rsidRPr="00814B2F">
        <w:rPr>
          <w:sz w:val="20"/>
          <w:szCs w:val="20"/>
        </w:rPr>
        <w:t>, 2021</w:t>
      </w:r>
    </w:p>
    <w:p w14:paraId="1946B306" w14:textId="5B03C943" w:rsidR="00DF6CD5" w:rsidRPr="0056163D" w:rsidRDefault="00DF6CD5" w:rsidP="00D121B0">
      <w:pPr>
        <w:contextualSpacing/>
        <w:mirrorIndents/>
        <w:jc w:val="both"/>
        <w:rPr>
          <w:sz w:val="20"/>
          <w:szCs w:val="20"/>
        </w:rPr>
      </w:pPr>
    </w:p>
    <w:p w14:paraId="484EAE38" w14:textId="77777777" w:rsidR="00393731" w:rsidRPr="0056163D" w:rsidRDefault="00393731" w:rsidP="00D121B0">
      <w:pPr>
        <w:contextualSpacing/>
        <w:mirrorIndents/>
        <w:jc w:val="both"/>
        <w:rPr>
          <w:b/>
          <w:sz w:val="22"/>
          <w:szCs w:val="22"/>
        </w:rPr>
      </w:pPr>
      <w:r w:rsidRPr="0056163D">
        <w:rPr>
          <w:b/>
          <w:sz w:val="22"/>
          <w:szCs w:val="22"/>
        </w:rPr>
        <w:t>Abstract</w:t>
      </w:r>
    </w:p>
    <w:p w14:paraId="0D7E674C" w14:textId="77777777" w:rsidR="00DF6CD5" w:rsidRPr="0056163D" w:rsidRDefault="00DF6CD5" w:rsidP="00D121B0">
      <w:pPr>
        <w:contextualSpacing/>
        <w:mirrorIndents/>
        <w:jc w:val="both"/>
        <w:rPr>
          <w:sz w:val="20"/>
          <w:szCs w:val="20"/>
        </w:rPr>
      </w:pPr>
    </w:p>
    <w:p w14:paraId="348490A1" w14:textId="75E0C506" w:rsidR="00162ABF" w:rsidRPr="0056163D" w:rsidRDefault="00162ABF" w:rsidP="00D121B0">
      <w:pPr>
        <w:contextualSpacing/>
        <w:mirrorIndents/>
        <w:jc w:val="both"/>
        <w:rPr>
          <w:sz w:val="20"/>
          <w:szCs w:val="20"/>
        </w:rPr>
      </w:pPr>
      <w:r w:rsidRPr="0056163D">
        <w:rPr>
          <w:b/>
          <w:sz w:val="20"/>
          <w:szCs w:val="20"/>
        </w:rPr>
        <w:t>Aim:</w:t>
      </w:r>
      <w:r w:rsidRPr="0056163D">
        <w:rPr>
          <w:sz w:val="20"/>
          <w:szCs w:val="20"/>
        </w:rPr>
        <w:t xml:space="preserve"> To provide an algorithm for diagnostic and treatment recommendations developed based on our findings and review of the literature.</w:t>
      </w:r>
    </w:p>
    <w:p w14:paraId="3B1AAD0D" w14:textId="77777777" w:rsidR="00D121B0" w:rsidRPr="0056163D" w:rsidRDefault="003A4189" w:rsidP="00D121B0">
      <w:pPr>
        <w:contextualSpacing/>
        <w:mirrorIndents/>
        <w:jc w:val="both"/>
        <w:rPr>
          <w:sz w:val="20"/>
          <w:szCs w:val="20"/>
        </w:rPr>
      </w:pPr>
      <w:r w:rsidRPr="007C7A54">
        <w:rPr>
          <w:b/>
          <w:sz w:val="20"/>
          <w:szCs w:val="20"/>
        </w:rPr>
        <w:t>Background:</w:t>
      </w:r>
      <w:r w:rsidRPr="0056163D">
        <w:rPr>
          <w:sz w:val="20"/>
          <w:szCs w:val="20"/>
        </w:rPr>
        <w:t xml:space="preserve"> </w:t>
      </w:r>
      <w:r w:rsidR="00393731" w:rsidRPr="0056163D">
        <w:rPr>
          <w:sz w:val="20"/>
          <w:szCs w:val="20"/>
        </w:rPr>
        <w:t>Gouty tendonitis of the hand is an uncommon diagnosis. It has primarily been reported to involve the extensor tendons, tendon sheaths, or carpal tunnel with rare direct infiltration of tendons.</w:t>
      </w:r>
    </w:p>
    <w:p w14:paraId="65D430B2" w14:textId="77777777" w:rsidR="00022900" w:rsidRDefault="00065A5B" w:rsidP="00D121B0">
      <w:pPr>
        <w:contextualSpacing/>
        <w:mirrorIndents/>
        <w:jc w:val="both"/>
        <w:rPr>
          <w:sz w:val="20"/>
          <w:szCs w:val="20"/>
        </w:rPr>
      </w:pPr>
      <w:r w:rsidRPr="00022900">
        <w:rPr>
          <w:b/>
          <w:sz w:val="20"/>
          <w:szCs w:val="20"/>
        </w:rPr>
        <w:t>Design/</w:t>
      </w:r>
      <w:r w:rsidR="003A4189" w:rsidRPr="00022900">
        <w:rPr>
          <w:b/>
          <w:sz w:val="20"/>
          <w:szCs w:val="20"/>
        </w:rPr>
        <w:t>Method:</w:t>
      </w:r>
      <w:r w:rsidR="003A4189" w:rsidRPr="0056163D">
        <w:rPr>
          <w:sz w:val="20"/>
          <w:szCs w:val="20"/>
        </w:rPr>
        <w:t xml:space="preserve"> </w:t>
      </w:r>
      <w:r w:rsidR="008647EC" w:rsidRPr="0056163D">
        <w:rPr>
          <w:sz w:val="20"/>
          <w:szCs w:val="20"/>
        </w:rPr>
        <w:t xml:space="preserve">A retrospective review of two hand surgeons’ patients was completed. </w:t>
      </w:r>
      <w:r w:rsidR="00393731" w:rsidRPr="0056163D">
        <w:rPr>
          <w:sz w:val="20"/>
          <w:szCs w:val="20"/>
        </w:rPr>
        <w:t>We report three cases of patients who presented with a range of gouty infiltration of flexor and extensor tendons that resulted in limited finger excur</w:t>
      </w:r>
      <w:r w:rsidR="00022900">
        <w:rPr>
          <w:sz w:val="20"/>
          <w:szCs w:val="20"/>
        </w:rPr>
        <w:t>sion as well as tendon rupture.</w:t>
      </w:r>
    </w:p>
    <w:p w14:paraId="4CA65395" w14:textId="47D83ADE" w:rsidR="00393731" w:rsidRDefault="003A4189" w:rsidP="00D121B0">
      <w:pPr>
        <w:contextualSpacing/>
        <w:mirrorIndents/>
        <w:jc w:val="both"/>
        <w:rPr>
          <w:color w:val="212121"/>
          <w:sz w:val="20"/>
          <w:szCs w:val="20"/>
          <w:shd w:val="clear" w:color="auto" w:fill="FFFFFF"/>
        </w:rPr>
      </w:pPr>
      <w:r w:rsidRPr="007C7A54">
        <w:rPr>
          <w:b/>
          <w:sz w:val="20"/>
          <w:szCs w:val="20"/>
        </w:rPr>
        <w:t>Conclusion:</w:t>
      </w:r>
      <w:r w:rsidRPr="0056163D">
        <w:rPr>
          <w:sz w:val="20"/>
          <w:szCs w:val="20"/>
        </w:rPr>
        <w:t xml:space="preserve"> </w:t>
      </w:r>
      <w:r w:rsidR="00F96683" w:rsidRPr="0056163D">
        <w:rPr>
          <w:color w:val="212121"/>
          <w:sz w:val="20"/>
          <w:szCs w:val="20"/>
          <w:shd w:val="clear" w:color="auto" w:fill="FFFFFF"/>
        </w:rPr>
        <w:t>Existing literature and our clinical experience support the step-by-step approach to this disease based on the degree of tendon involvement and injury.</w:t>
      </w:r>
    </w:p>
    <w:p w14:paraId="4D572ADE" w14:textId="77777777" w:rsidR="00555CB1" w:rsidRPr="0056163D" w:rsidRDefault="00555CB1" w:rsidP="00D121B0">
      <w:pPr>
        <w:contextualSpacing/>
        <w:mirrorIndents/>
        <w:jc w:val="both"/>
        <w:rPr>
          <w:sz w:val="20"/>
          <w:szCs w:val="20"/>
        </w:rPr>
      </w:pPr>
    </w:p>
    <w:p w14:paraId="23E155A5" w14:textId="6EC6B2CE" w:rsidR="00393731" w:rsidRPr="0056163D" w:rsidRDefault="00393731" w:rsidP="00D121B0">
      <w:pPr>
        <w:contextualSpacing/>
        <w:mirrorIndents/>
        <w:jc w:val="both"/>
        <w:rPr>
          <w:sz w:val="20"/>
          <w:szCs w:val="20"/>
        </w:rPr>
      </w:pPr>
      <w:r w:rsidRPr="00AA450E">
        <w:rPr>
          <w:b/>
          <w:sz w:val="22"/>
          <w:szCs w:val="22"/>
        </w:rPr>
        <w:t>Keywords:</w:t>
      </w:r>
      <w:r w:rsidRPr="0056163D">
        <w:rPr>
          <w:sz w:val="20"/>
          <w:szCs w:val="20"/>
        </w:rPr>
        <w:t xml:space="preserve"> </w:t>
      </w:r>
      <w:r w:rsidR="00C34DE5">
        <w:rPr>
          <w:sz w:val="20"/>
          <w:szCs w:val="20"/>
        </w:rPr>
        <w:t>A</w:t>
      </w:r>
      <w:r w:rsidR="00D121B0" w:rsidRPr="0056163D">
        <w:rPr>
          <w:sz w:val="20"/>
          <w:szCs w:val="20"/>
        </w:rPr>
        <w:t xml:space="preserve">lgorithm; Gout; </w:t>
      </w:r>
      <w:r w:rsidR="00E25FE8">
        <w:rPr>
          <w:sz w:val="20"/>
          <w:szCs w:val="20"/>
        </w:rPr>
        <w:t>H</w:t>
      </w:r>
      <w:r w:rsidR="00D121B0" w:rsidRPr="0056163D">
        <w:rPr>
          <w:sz w:val="20"/>
          <w:szCs w:val="20"/>
        </w:rPr>
        <w:t xml:space="preserve">and; </w:t>
      </w:r>
      <w:r w:rsidR="003B399A">
        <w:rPr>
          <w:sz w:val="20"/>
          <w:szCs w:val="20"/>
        </w:rPr>
        <w:t>T</w:t>
      </w:r>
      <w:r w:rsidR="003B399A" w:rsidRPr="0056163D">
        <w:rPr>
          <w:sz w:val="20"/>
          <w:szCs w:val="20"/>
        </w:rPr>
        <w:t>endon</w:t>
      </w:r>
      <w:r w:rsidR="003B399A">
        <w:rPr>
          <w:sz w:val="20"/>
          <w:szCs w:val="20"/>
        </w:rPr>
        <w:t xml:space="preserve">; </w:t>
      </w:r>
      <w:r w:rsidR="00467634">
        <w:rPr>
          <w:sz w:val="20"/>
          <w:szCs w:val="20"/>
        </w:rPr>
        <w:t>T</w:t>
      </w:r>
      <w:r w:rsidR="003B399A">
        <w:rPr>
          <w:sz w:val="20"/>
          <w:szCs w:val="20"/>
        </w:rPr>
        <w:t>endonitis</w:t>
      </w:r>
      <w:r w:rsidRPr="0056163D">
        <w:rPr>
          <w:sz w:val="20"/>
          <w:szCs w:val="20"/>
        </w:rPr>
        <w:t xml:space="preserve"> </w:t>
      </w:r>
    </w:p>
    <w:p w14:paraId="169F5E9B" w14:textId="77777777" w:rsidR="00DF6CD5" w:rsidRPr="0056163D" w:rsidRDefault="00DF6CD5" w:rsidP="00D121B0">
      <w:pPr>
        <w:contextualSpacing/>
        <w:mirrorIndents/>
        <w:jc w:val="both"/>
        <w:rPr>
          <w:sz w:val="20"/>
          <w:szCs w:val="20"/>
        </w:rPr>
      </w:pPr>
    </w:p>
    <w:p w14:paraId="7AFD149B" w14:textId="77777777" w:rsidR="00393731" w:rsidRPr="0056163D" w:rsidRDefault="00393731" w:rsidP="00D121B0">
      <w:pPr>
        <w:contextualSpacing/>
        <w:mirrorIndents/>
        <w:jc w:val="both"/>
        <w:rPr>
          <w:b/>
          <w:sz w:val="22"/>
          <w:szCs w:val="22"/>
        </w:rPr>
      </w:pPr>
      <w:r w:rsidRPr="0056163D">
        <w:rPr>
          <w:b/>
          <w:sz w:val="22"/>
          <w:szCs w:val="22"/>
        </w:rPr>
        <w:t>Introduction</w:t>
      </w:r>
    </w:p>
    <w:p w14:paraId="5A0C7644" w14:textId="77777777" w:rsidR="00DF6CD5" w:rsidRPr="0056163D" w:rsidRDefault="00DF6CD5" w:rsidP="00D121B0">
      <w:pPr>
        <w:contextualSpacing/>
        <w:mirrorIndents/>
        <w:jc w:val="both"/>
        <w:rPr>
          <w:sz w:val="20"/>
          <w:szCs w:val="20"/>
        </w:rPr>
      </w:pPr>
    </w:p>
    <w:p w14:paraId="2B220790" w14:textId="460C3FB1" w:rsidR="00393731" w:rsidRDefault="00393731" w:rsidP="00D121B0">
      <w:pPr>
        <w:contextualSpacing/>
        <w:mirrorIndents/>
        <w:jc w:val="both"/>
        <w:rPr>
          <w:sz w:val="20"/>
          <w:szCs w:val="20"/>
        </w:rPr>
      </w:pPr>
      <w:r w:rsidRPr="0056163D">
        <w:rPr>
          <w:sz w:val="20"/>
          <w:szCs w:val="20"/>
        </w:rPr>
        <w:t>Gout is the most common form of inflammatory arthritis characterized by monosodium urate crystal deposits within joints and soft tissue with both acute and chronic manifestations</w:t>
      </w:r>
      <w:r w:rsidR="00766073">
        <w:rPr>
          <w:sz w:val="20"/>
          <w:szCs w:val="20"/>
        </w:rPr>
        <w:t xml:space="preserve"> </w:t>
      </w:r>
      <w:r w:rsidR="00766073" w:rsidRPr="00766073">
        <w:rPr>
          <w:color w:val="FF0000"/>
          <w:sz w:val="20"/>
          <w:szCs w:val="20"/>
        </w:rPr>
        <w:t>[1]</w:t>
      </w:r>
      <w:r w:rsidRPr="0056163D">
        <w:rPr>
          <w:sz w:val="20"/>
          <w:szCs w:val="20"/>
        </w:rPr>
        <w:t>.</w:t>
      </w:r>
      <w:r w:rsidR="00766073">
        <w:rPr>
          <w:sz w:val="20"/>
          <w:szCs w:val="20"/>
        </w:rPr>
        <w:t xml:space="preserve"> T</w:t>
      </w:r>
      <w:r w:rsidR="00022900" w:rsidRPr="0056163D">
        <w:rPr>
          <w:sz w:val="20"/>
          <w:szCs w:val="20"/>
        </w:rPr>
        <w:t>he</w:t>
      </w:r>
      <w:r w:rsidRPr="0056163D">
        <w:rPr>
          <w:sz w:val="20"/>
          <w:szCs w:val="20"/>
        </w:rPr>
        <w:t xml:space="preserve"> upper extremity is a less common site of disease.</w:t>
      </w:r>
      <w:r w:rsidR="00D863FC" w:rsidRPr="0056163D">
        <w:rPr>
          <w:sz w:val="20"/>
          <w:szCs w:val="20"/>
        </w:rPr>
        <w:t xml:space="preserve"> Gouty tendonitis occurs with uncontrolled pathology resulting in tophaceous deposition within a tendon.</w:t>
      </w:r>
      <w:r w:rsidR="002B0D3F" w:rsidRPr="0056163D">
        <w:rPr>
          <w:sz w:val="20"/>
          <w:szCs w:val="20"/>
        </w:rPr>
        <w:t xml:space="preserve"> It is one manifestation of extra-articular gout.</w:t>
      </w:r>
      <w:r w:rsidRPr="0056163D">
        <w:rPr>
          <w:sz w:val="20"/>
          <w:szCs w:val="20"/>
        </w:rPr>
        <w:t xml:space="preserve"> Clinical involvement of the hand can present as arthritis, skin ulceration, draining sinus formation, nerve entrapment, tendon rupture, infection, and tenosynovitis</w:t>
      </w:r>
      <w:r w:rsidR="00602A43">
        <w:rPr>
          <w:sz w:val="20"/>
          <w:szCs w:val="20"/>
        </w:rPr>
        <w:t xml:space="preserve"> </w:t>
      </w:r>
      <w:r w:rsidR="00602A43" w:rsidRPr="00766073">
        <w:rPr>
          <w:color w:val="FF0000"/>
          <w:sz w:val="20"/>
          <w:szCs w:val="20"/>
        </w:rPr>
        <w:t>[</w:t>
      </w:r>
      <w:r w:rsidR="00602A43">
        <w:rPr>
          <w:color w:val="FF0000"/>
          <w:sz w:val="20"/>
          <w:szCs w:val="20"/>
        </w:rPr>
        <w:t>2</w:t>
      </w:r>
      <w:proofErr w:type="gramStart"/>
      <w:r w:rsidR="00602A43">
        <w:rPr>
          <w:color w:val="FF0000"/>
          <w:sz w:val="20"/>
          <w:szCs w:val="20"/>
        </w:rPr>
        <w:t>,3</w:t>
      </w:r>
      <w:proofErr w:type="gramEnd"/>
      <w:r w:rsidR="00602A43" w:rsidRPr="00766073">
        <w:rPr>
          <w:color w:val="FF0000"/>
          <w:sz w:val="20"/>
          <w:szCs w:val="20"/>
        </w:rPr>
        <w:t>]</w:t>
      </w:r>
      <w:r w:rsidRPr="0056163D">
        <w:rPr>
          <w:sz w:val="20"/>
          <w:szCs w:val="20"/>
        </w:rPr>
        <w:t>.</w:t>
      </w:r>
      <w:r w:rsidR="00602A43">
        <w:rPr>
          <w:sz w:val="20"/>
          <w:szCs w:val="20"/>
        </w:rPr>
        <w:t xml:space="preserve"> </w:t>
      </w:r>
      <w:r w:rsidRPr="0056163D">
        <w:rPr>
          <w:sz w:val="20"/>
          <w:szCs w:val="20"/>
        </w:rPr>
        <w:t xml:space="preserve">There is a paucity of literature describing the infiltration of </w:t>
      </w:r>
      <w:proofErr w:type="spellStart"/>
      <w:r w:rsidRPr="0056163D">
        <w:rPr>
          <w:sz w:val="20"/>
          <w:szCs w:val="20"/>
        </w:rPr>
        <w:t>tophaceous</w:t>
      </w:r>
      <w:proofErr w:type="spellEnd"/>
      <w:r w:rsidRPr="0056163D">
        <w:rPr>
          <w:sz w:val="20"/>
          <w:szCs w:val="20"/>
        </w:rPr>
        <w:t xml:space="preserve"> deposits within tendon; the majority of which are individual case reports</w:t>
      </w:r>
      <w:r w:rsidR="00602A43">
        <w:rPr>
          <w:sz w:val="20"/>
          <w:szCs w:val="20"/>
        </w:rPr>
        <w:t xml:space="preserve"> </w:t>
      </w:r>
      <w:r w:rsidR="00602A43" w:rsidRPr="00766073">
        <w:rPr>
          <w:color w:val="FF0000"/>
          <w:sz w:val="20"/>
          <w:szCs w:val="20"/>
        </w:rPr>
        <w:t>[</w:t>
      </w:r>
      <w:r w:rsidR="00602A43">
        <w:rPr>
          <w:color w:val="FF0000"/>
          <w:sz w:val="20"/>
          <w:szCs w:val="20"/>
        </w:rPr>
        <w:t>3</w:t>
      </w:r>
      <w:proofErr w:type="gramStart"/>
      <w:r w:rsidR="00602A43">
        <w:rPr>
          <w:color w:val="FF0000"/>
          <w:sz w:val="20"/>
          <w:szCs w:val="20"/>
        </w:rPr>
        <w:t>,4</w:t>
      </w:r>
      <w:proofErr w:type="gramEnd"/>
      <w:r w:rsidR="00602A43" w:rsidRPr="00766073">
        <w:rPr>
          <w:color w:val="FF0000"/>
          <w:sz w:val="20"/>
          <w:szCs w:val="20"/>
        </w:rPr>
        <w:t>]</w:t>
      </w:r>
      <w:r w:rsidRPr="0056163D">
        <w:rPr>
          <w:sz w:val="20"/>
          <w:szCs w:val="20"/>
        </w:rPr>
        <w:t>.</w:t>
      </w:r>
      <w:r w:rsidR="00602A43">
        <w:rPr>
          <w:sz w:val="20"/>
          <w:szCs w:val="20"/>
        </w:rPr>
        <w:t xml:space="preserve"> </w:t>
      </w:r>
      <w:r w:rsidRPr="0056163D">
        <w:rPr>
          <w:sz w:val="20"/>
          <w:szCs w:val="20"/>
        </w:rPr>
        <w:t xml:space="preserve">We describe our experience with three patients diagnosed with gouty infiltration of tendons. Based on our clinical experience and review of the literature, we present an operative treatment algorithm for the management of patients with this disease. </w:t>
      </w:r>
    </w:p>
    <w:p w14:paraId="5EF43427" w14:textId="77777777" w:rsidR="001F4EF6" w:rsidRPr="0056163D" w:rsidRDefault="001F4EF6" w:rsidP="00D121B0">
      <w:pPr>
        <w:contextualSpacing/>
        <w:mirrorIndents/>
        <w:jc w:val="both"/>
        <w:rPr>
          <w:sz w:val="20"/>
          <w:szCs w:val="20"/>
        </w:rPr>
      </w:pPr>
    </w:p>
    <w:p w14:paraId="48B6FFBF" w14:textId="77777777" w:rsidR="00393731" w:rsidRPr="00022900" w:rsidRDefault="00393731" w:rsidP="00D121B0">
      <w:pPr>
        <w:contextualSpacing/>
        <w:mirrorIndents/>
        <w:jc w:val="both"/>
        <w:rPr>
          <w:b/>
          <w:sz w:val="22"/>
          <w:szCs w:val="22"/>
        </w:rPr>
      </w:pPr>
      <w:r w:rsidRPr="00022900">
        <w:rPr>
          <w:b/>
          <w:sz w:val="22"/>
          <w:szCs w:val="22"/>
        </w:rPr>
        <w:t>Case Series</w:t>
      </w:r>
    </w:p>
    <w:p w14:paraId="2F7E1243" w14:textId="77777777" w:rsidR="00E56384" w:rsidRPr="0056163D" w:rsidRDefault="00E56384" w:rsidP="00D121B0">
      <w:pPr>
        <w:contextualSpacing/>
        <w:mirrorIndents/>
        <w:jc w:val="both"/>
        <w:rPr>
          <w:sz w:val="20"/>
          <w:szCs w:val="20"/>
        </w:rPr>
      </w:pPr>
    </w:p>
    <w:p w14:paraId="128F5FF2" w14:textId="77777777" w:rsidR="00393731" w:rsidRPr="00022900" w:rsidRDefault="00393731" w:rsidP="00D121B0">
      <w:pPr>
        <w:contextualSpacing/>
        <w:mirrorIndents/>
        <w:jc w:val="both"/>
        <w:rPr>
          <w:b/>
          <w:sz w:val="20"/>
          <w:szCs w:val="20"/>
        </w:rPr>
      </w:pPr>
      <w:r w:rsidRPr="00022900">
        <w:rPr>
          <w:b/>
          <w:sz w:val="20"/>
          <w:szCs w:val="20"/>
        </w:rPr>
        <w:t>Patient 1</w:t>
      </w:r>
    </w:p>
    <w:p w14:paraId="26080FF1" w14:textId="77777777" w:rsidR="00A43347" w:rsidRDefault="00A43347" w:rsidP="00D121B0">
      <w:pPr>
        <w:contextualSpacing/>
        <w:mirrorIndents/>
        <w:jc w:val="both"/>
        <w:rPr>
          <w:sz w:val="20"/>
          <w:szCs w:val="20"/>
        </w:rPr>
      </w:pPr>
    </w:p>
    <w:p w14:paraId="0ED96DC5" w14:textId="4FF406B5" w:rsidR="00393731" w:rsidRPr="0056163D" w:rsidRDefault="00393731" w:rsidP="00D121B0">
      <w:pPr>
        <w:contextualSpacing/>
        <w:mirrorIndents/>
        <w:jc w:val="both"/>
        <w:rPr>
          <w:color w:val="212121"/>
          <w:sz w:val="20"/>
          <w:szCs w:val="20"/>
          <w:shd w:val="clear" w:color="auto" w:fill="FFFFFF"/>
        </w:rPr>
      </w:pPr>
      <w:r w:rsidRPr="0056163D">
        <w:rPr>
          <w:sz w:val="20"/>
          <w:szCs w:val="20"/>
        </w:rPr>
        <w:t xml:space="preserve">A 53-year-old right-hand dominant man with a history of chronic gout medically managed with colchicine, allopurinol, and ibuprofen, and daily alcohol use presented with a complaint of progressive pain and limited small finger range of motion. On exam, his right small finger had a total </w:t>
      </w:r>
      <w:r w:rsidRPr="0056163D">
        <w:rPr>
          <w:color w:val="212121"/>
          <w:sz w:val="20"/>
          <w:szCs w:val="20"/>
          <w:shd w:val="clear" w:color="auto" w:fill="FFFFFF"/>
        </w:rPr>
        <w:t xml:space="preserve">arc of 80 degrees of motion at the </w:t>
      </w:r>
      <w:r w:rsidR="000661B6">
        <w:rPr>
          <w:color w:val="212121"/>
          <w:sz w:val="20"/>
          <w:szCs w:val="20"/>
          <w:shd w:val="clear" w:color="auto" w:fill="FFFFFF"/>
        </w:rPr>
        <w:t>M</w:t>
      </w:r>
      <w:r w:rsidRPr="0056163D">
        <w:rPr>
          <w:color w:val="212121"/>
          <w:sz w:val="20"/>
          <w:szCs w:val="20"/>
          <w:shd w:val="clear" w:color="auto" w:fill="FFFFFF"/>
        </w:rPr>
        <w:t xml:space="preserve">etacarpophalangeal </w:t>
      </w:r>
      <w:r w:rsidR="002D7879">
        <w:rPr>
          <w:color w:val="212121"/>
          <w:sz w:val="20"/>
          <w:szCs w:val="20"/>
          <w:shd w:val="clear" w:color="auto" w:fill="FFFFFF"/>
        </w:rPr>
        <w:t xml:space="preserve">(MCP) joint, 30 degrees at the </w:t>
      </w:r>
      <w:r w:rsidR="00A90A51">
        <w:rPr>
          <w:color w:val="212121"/>
          <w:sz w:val="20"/>
          <w:szCs w:val="20"/>
          <w:shd w:val="clear" w:color="auto" w:fill="FFFFFF"/>
        </w:rPr>
        <w:t>Proximal</w:t>
      </w:r>
      <w:r w:rsidR="00A90A51" w:rsidRPr="0056163D">
        <w:rPr>
          <w:color w:val="212121"/>
          <w:sz w:val="20"/>
          <w:szCs w:val="20"/>
          <w:shd w:val="clear" w:color="auto" w:fill="FFFFFF"/>
        </w:rPr>
        <w:t xml:space="preserve"> Interphalangeal </w:t>
      </w:r>
      <w:r w:rsidRPr="0056163D">
        <w:rPr>
          <w:color w:val="212121"/>
          <w:sz w:val="20"/>
          <w:szCs w:val="20"/>
          <w:shd w:val="clear" w:color="auto" w:fill="FFFFFF"/>
        </w:rPr>
        <w:t xml:space="preserve">(PIP) joint, and 0 degrees at the </w:t>
      </w:r>
      <w:r w:rsidR="00132723" w:rsidRPr="0056163D">
        <w:rPr>
          <w:color w:val="212121"/>
          <w:sz w:val="20"/>
          <w:szCs w:val="20"/>
          <w:shd w:val="clear" w:color="auto" w:fill="FFFFFF"/>
        </w:rPr>
        <w:t>Distal Interphalangeal (</w:t>
      </w:r>
      <w:r w:rsidRPr="0056163D">
        <w:rPr>
          <w:color w:val="212121"/>
          <w:sz w:val="20"/>
          <w:szCs w:val="20"/>
          <w:shd w:val="clear" w:color="auto" w:fill="FFFFFF"/>
        </w:rPr>
        <w:t>DIP) joint.</w:t>
      </w:r>
      <w:r w:rsidR="007C7A54">
        <w:rPr>
          <w:color w:val="212121"/>
          <w:sz w:val="20"/>
          <w:szCs w:val="20"/>
          <w:shd w:val="clear" w:color="auto" w:fill="FFFFFF"/>
        </w:rPr>
        <w:t xml:space="preserve"> </w:t>
      </w:r>
      <w:r w:rsidRPr="0056163D">
        <w:rPr>
          <w:color w:val="212121"/>
          <w:sz w:val="20"/>
          <w:szCs w:val="20"/>
          <w:shd w:val="clear" w:color="auto" w:fill="FFFFFF"/>
        </w:rPr>
        <w:t>A large gouty tophus was present on the dorsum of the small finger. Serum uric acid level was 10 mg/</w:t>
      </w:r>
      <w:proofErr w:type="spellStart"/>
      <w:r w:rsidRPr="0056163D">
        <w:rPr>
          <w:color w:val="212121"/>
          <w:sz w:val="20"/>
          <w:szCs w:val="20"/>
          <w:shd w:val="clear" w:color="auto" w:fill="FFFFFF"/>
        </w:rPr>
        <w:t>dL</w:t>
      </w:r>
      <w:proofErr w:type="spellEnd"/>
      <w:r w:rsidRPr="0056163D">
        <w:rPr>
          <w:color w:val="212121"/>
          <w:sz w:val="20"/>
          <w:szCs w:val="20"/>
          <w:shd w:val="clear" w:color="auto" w:fill="FFFFFF"/>
        </w:rPr>
        <w:t xml:space="preserve"> (normal 2.9-9) pre-operatively.</w:t>
      </w:r>
      <w:r w:rsidR="007C7A54">
        <w:rPr>
          <w:color w:val="212121"/>
          <w:sz w:val="20"/>
          <w:szCs w:val="20"/>
          <w:shd w:val="clear" w:color="auto" w:fill="FFFFFF"/>
        </w:rPr>
        <w:t xml:space="preserve"> </w:t>
      </w:r>
    </w:p>
    <w:p w14:paraId="4654CBF9" w14:textId="77777777" w:rsidR="00EA3FD1" w:rsidRPr="0056163D" w:rsidRDefault="00EA3FD1" w:rsidP="00D121B0">
      <w:pPr>
        <w:contextualSpacing/>
        <w:mirrorIndents/>
        <w:jc w:val="both"/>
        <w:rPr>
          <w:color w:val="212121"/>
          <w:sz w:val="20"/>
          <w:szCs w:val="20"/>
          <w:shd w:val="clear" w:color="auto" w:fill="FFFFFF"/>
        </w:rPr>
      </w:pPr>
    </w:p>
    <w:p w14:paraId="3E21EC25" w14:textId="3B916892" w:rsidR="00393731" w:rsidRPr="0056163D" w:rsidRDefault="00393731" w:rsidP="00D121B0">
      <w:pPr>
        <w:contextualSpacing/>
        <w:mirrorIndents/>
        <w:jc w:val="both"/>
        <w:rPr>
          <w:sz w:val="20"/>
          <w:szCs w:val="20"/>
        </w:rPr>
      </w:pPr>
      <w:r w:rsidRPr="0056163D">
        <w:rPr>
          <w:color w:val="212121"/>
          <w:sz w:val="20"/>
          <w:szCs w:val="20"/>
          <w:shd w:val="clear" w:color="auto" w:fill="FFFFFF"/>
        </w:rPr>
        <w:lastRenderedPageBreak/>
        <w:t xml:space="preserve">To improve range of motion and to alleviate pain, this patient underwent operative treatment in </w:t>
      </w:r>
      <w:r w:rsidRPr="00545054">
        <w:rPr>
          <w:sz w:val="20"/>
          <w:szCs w:val="20"/>
          <w:shd w:val="clear" w:color="auto" w:fill="FFFFFF"/>
        </w:rPr>
        <w:t>November 2018</w:t>
      </w:r>
      <w:r w:rsidRPr="0056163D">
        <w:rPr>
          <w:color w:val="212121"/>
          <w:sz w:val="20"/>
          <w:szCs w:val="20"/>
          <w:shd w:val="clear" w:color="auto" w:fill="FFFFFF"/>
        </w:rPr>
        <w:t xml:space="preserve">. A Brunner incision over the PIP joint of the small finger revealed significant infiltration of both the </w:t>
      </w:r>
      <w:r w:rsidR="004D1ABD" w:rsidRPr="0056163D">
        <w:rPr>
          <w:color w:val="212121"/>
          <w:sz w:val="20"/>
          <w:szCs w:val="20"/>
          <w:shd w:val="clear" w:color="auto" w:fill="FFFFFF"/>
        </w:rPr>
        <w:t xml:space="preserve">Flexor </w:t>
      </w:r>
      <w:proofErr w:type="spellStart"/>
      <w:r w:rsidR="004D1ABD" w:rsidRPr="0056163D">
        <w:rPr>
          <w:color w:val="212121"/>
          <w:sz w:val="20"/>
          <w:szCs w:val="20"/>
          <w:shd w:val="clear" w:color="auto" w:fill="FFFFFF"/>
        </w:rPr>
        <w:t>Digitorum</w:t>
      </w:r>
      <w:proofErr w:type="spellEnd"/>
      <w:r w:rsidR="004D1ABD" w:rsidRPr="0056163D">
        <w:rPr>
          <w:color w:val="212121"/>
          <w:sz w:val="20"/>
          <w:szCs w:val="20"/>
          <w:shd w:val="clear" w:color="auto" w:fill="FFFFFF"/>
        </w:rPr>
        <w:t xml:space="preserve"> </w:t>
      </w:r>
      <w:proofErr w:type="spellStart"/>
      <w:r w:rsidR="004D1ABD" w:rsidRPr="0056163D">
        <w:rPr>
          <w:color w:val="212121"/>
          <w:sz w:val="20"/>
          <w:szCs w:val="20"/>
          <w:shd w:val="clear" w:color="auto" w:fill="FFFFFF"/>
        </w:rPr>
        <w:t>Profundus</w:t>
      </w:r>
      <w:proofErr w:type="spellEnd"/>
      <w:r w:rsidR="004D1ABD" w:rsidRPr="0056163D">
        <w:rPr>
          <w:color w:val="212121"/>
          <w:sz w:val="20"/>
          <w:szCs w:val="20"/>
          <w:shd w:val="clear" w:color="auto" w:fill="FFFFFF"/>
        </w:rPr>
        <w:t xml:space="preserve"> </w:t>
      </w:r>
      <w:r w:rsidRPr="0056163D">
        <w:rPr>
          <w:color w:val="212121"/>
          <w:sz w:val="20"/>
          <w:szCs w:val="20"/>
          <w:shd w:val="clear" w:color="auto" w:fill="FFFFFF"/>
        </w:rPr>
        <w:t xml:space="preserve">(FDP) and </w:t>
      </w:r>
      <w:r w:rsidR="007F7568" w:rsidRPr="0056163D">
        <w:rPr>
          <w:color w:val="212121"/>
          <w:sz w:val="20"/>
          <w:szCs w:val="20"/>
          <w:shd w:val="clear" w:color="auto" w:fill="FFFFFF"/>
        </w:rPr>
        <w:t xml:space="preserve">Flexor </w:t>
      </w:r>
      <w:proofErr w:type="spellStart"/>
      <w:r w:rsidR="007F7568" w:rsidRPr="0056163D">
        <w:rPr>
          <w:color w:val="212121"/>
          <w:sz w:val="20"/>
          <w:szCs w:val="20"/>
          <w:shd w:val="clear" w:color="auto" w:fill="FFFFFF"/>
        </w:rPr>
        <w:t>Digitorum</w:t>
      </w:r>
      <w:proofErr w:type="spellEnd"/>
      <w:r w:rsidR="007F7568" w:rsidRPr="0056163D">
        <w:rPr>
          <w:color w:val="212121"/>
          <w:sz w:val="20"/>
          <w:szCs w:val="20"/>
          <w:shd w:val="clear" w:color="auto" w:fill="FFFFFF"/>
        </w:rPr>
        <w:t xml:space="preserve"> </w:t>
      </w:r>
      <w:proofErr w:type="spellStart"/>
      <w:r w:rsidR="007F7568" w:rsidRPr="0056163D">
        <w:rPr>
          <w:color w:val="212121"/>
          <w:sz w:val="20"/>
          <w:szCs w:val="20"/>
          <w:shd w:val="clear" w:color="auto" w:fill="FFFFFF"/>
        </w:rPr>
        <w:t>Superficialis</w:t>
      </w:r>
      <w:proofErr w:type="spellEnd"/>
      <w:r w:rsidR="007F7568" w:rsidRPr="0056163D">
        <w:rPr>
          <w:color w:val="212121"/>
          <w:sz w:val="20"/>
          <w:szCs w:val="20"/>
          <w:shd w:val="clear" w:color="auto" w:fill="FFFFFF"/>
        </w:rPr>
        <w:t xml:space="preserve"> </w:t>
      </w:r>
      <w:r w:rsidRPr="0056163D">
        <w:rPr>
          <w:color w:val="212121"/>
          <w:sz w:val="20"/>
          <w:szCs w:val="20"/>
          <w:shd w:val="clear" w:color="auto" w:fill="FFFFFF"/>
        </w:rPr>
        <w:t xml:space="preserve">(FDS) tendons </w:t>
      </w:r>
      <w:r w:rsidRPr="002D7879">
        <w:rPr>
          <w:color w:val="FF0000"/>
          <w:sz w:val="20"/>
          <w:szCs w:val="20"/>
          <w:shd w:val="clear" w:color="auto" w:fill="FFFFFF"/>
        </w:rPr>
        <w:t>(Figure 1)</w:t>
      </w:r>
      <w:r w:rsidRPr="0056163D">
        <w:rPr>
          <w:color w:val="212121"/>
          <w:sz w:val="20"/>
          <w:szCs w:val="20"/>
          <w:shd w:val="clear" w:color="auto" w:fill="FFFFFF"/>
        </w:rPr>
        <w:t xml:space="preserve">. The A3 pulley was released and excursion of the flexor tendons was assessed by traction using a </w:t>
      </w:r>
      <w:proofErr w:type="spellStart"/>
      <w:r w:rsidRPr="0056163D">
        <w:rPr>
          <w:color w:val="212121"/>
          <w:sz w:val="20"/>
          <w:szCs w:val="20"/>
          <w:shd w:val="clear" w:color="auto" w:fill="FFFFFF"/>
        </w:rPr>
        <w:t>Ragnell</w:t>
      </w:r>
      <w:proofErr w:type="spellEnd"/>
      <w:r w:rsidRPr="0056163D">
        <w:rPr>
          <w:color w:val="212121"/>
          <w:sz w:val="20"/>
          <w:szCs w:val="20"/>
          <w:shd w:val="clear" w:color="auto" w:fill="FFFFFF"/>
        </w:rPr>
        <w:t xml:space="preserve"> retractor. The FDS tendon was noted to be completely fixed in position due to gouty disease and was, thus, excised.</w:t>
      </w:r>
      <w:r w:rsidR="007C7A54">
        <w:rPr>
          <w:color w:val="212121"/>
          <w:sz w:val="20"/>
          <w:szCs w:val="20"/>
          <w:shd w:val="clear" w:color="auto" w:fill="FFFFFF"/>
        </w:rPr>
        <w:t xml:space="preserve"> </w:t>
      </w:r>
      <w:r w:rsidRPr="0056163D">
        <w:rPr>
          <w:color w:val="212121"/>
          <w:sz w:val="20"/>
          <w:szCs w:val="20"/>
          <w:shd w:val="clear" w:color="auto" w:fill="FFFFFF"/>
        </w:rPr>
        <w:t xml:space="preserve">The FDP tendon maintained near normal </w:t>
      </w:r>
      <w:r w:rsidRPr="002F2F53">
        <w:rPr>
          <w:sz w:val="20"/>
          <w:szCs w:val="20"/>
          <w:shd w:val="clear" w:color="auto" w:fill="FFFFFF"/>
        </w:rPr>
        <w:t>excursion (Supplemental Material 1: video)</w:t>
      </w:r>
      <w:r w:rsidRPr="0056163D">
        <w:rPr>
          <w:color w:val="212121"/>
          <w:sz w:val="20"/>
          <w:szCs w:val="20"/>
          <w:shd w:val="clear" w:color="auto" w:fill="FFFFFF"/>
        </w:rPr>
        <w:t>.</w:t>
      </w:r>
      <w:r w:rsidR="007C7A54">
        <w:rPr>
          <w:color w:val="212121"/>
          <w:sz w:val="20"/>
          <w:szCs w:val="20"/>
          <w:shd w:val="clear" w:color="auto" w:fill="FFFFFF"/>
        </w:rPr>
        <w:t xml:space="preserve"> </w:t>
      </w:r>
      <w:r w:rsidRPr="0056163D">
        <w:rPr>
          <w:color w:val="212121"/>
          <w:sz w:val="20"/>
          <w:szCs w:val="20"/>
          <w:shd w:val="clear" w:color="auto" w:fill="FFFFFF"/>
        </w:rPr>
        <w:t>Gouty deposits were debrided, creating a smoother surface to improve tendon gliding.</w:t>
      </w:r>
      <w:r w:rsidR="007C7A54">
        <w:rPr>
          <w:color w:val="212121"/>
          <w:sz w:val="20"/>
          <w:szCs w:val="20"/>
          <w:shd w:val="clear" w:color="auto" w:fill="FFFFFF"/>
        </w:rPr>
        <w:t xml:space="preserve"> </w:t>
      </w:r>
      <w:r w:rsidRPr="0056163D">
        <w:rPr>
          <w:color w:val="212121"/>
          <w:sz w:val="20"/>
          <w:szCs w:val="20"/>
          <w:shd w:val="clear" w:color="auto" w:fill="FFFFFF"/>
        </w:rPr>
        <w:t xml:space="preserve">Exploration of the extensor tendon was performed through a separate incision. Upon inspection, 50% of the extensor tendon had ruptured due to gout infiltration </w:t>
      </w:r>
      <w:r w:rsidRPr="00D01E3A">
        <w:rPr>
          <w:color w:val="FF0000"/>
          <w:sz w:val="20"/>
          <w:szCs w:val="20"/>
          <w:shd w:val="clear" w:color="auto" w:fill="FFFFFF"/>
        </w:rPr>
        <w:t>(Figure 2)</w:t>
      </w:r>
      <w:r w:rsidRPr="0056163D">
        <w:rPr>
          <w:color w:val="212121"/>
          <w:sz w:val="20"/>
          <w:szCs w:val="20"/>
          <w:shd w:val="clear" w:color="auto" w:fill="FFFFFF"/>
        </w:rPr>
        <w:t xml:space="preserve"> and was primarily repaired. One-month follow-up demonstrated improvement in flexion at the MCP (85 from 80 degrees), mild worsening of PIP flexion (20 from 30 degrees), and no change for the DIP joint. The patient endorsed pain relief post-operatively.</w:t>
      </w:r>
      <w:r w:rsidR="007C7A54">
        <w:rPr>
          <w:color w:val="212121"/>
          <w:sz w:val="20"/>
          <w:szCs w:val="20"/>
          <w:shd w:val="clear" w:color="auto" w:fill="FFFFFF"/>
        </w:rPr>
        <w:t xml:space="preserve"> </w:t>
      </w:r>
    </w:p>
    <w:p w14:paraId="366D155E" w14:textId="50044BFE" w:rsidR="00393731" w:rsidRDefault="00393731" w:rsidP="00D121B0">
      <w:pPr>
        <w:contextualSpacing/>
        <w:mirrorIndents/>
        <w:jc w:val="both"/>
        <w:rPr>
          <w:color w:val="212121"/>
          <w:sz w:val="20"/>
          <w:szCs w:val="20"/>
          <w:shd w:val="clear" w:color="auto" w:fill="FFFFFF"/>
        </w:rPr>
      </w:pPr>
    </w:p>
    <w:p w14:paraId="02236B84" w14:textId="77777777" w:rsidR="00A977F1" w:rsidRPr="0056163D" w:rsidRDefault="00A977F1" w:rsidP="00A977F1">
      <w:pPr>
        <w:contextualSpacing/>
        <w:mirrorIndents/>
        <w:jc w:val="center"/>
        <w:rPr>
          <w:sz w:val="20"/>
          <w:szCs w:val="20"/>
        </w:rPr>
      </w:pPr>
      <w:r w:rsidRPr="0056163D">
        <w:rPr>
          <w:noProof/>
          <w:sz w:val="20"/>
          <w:szCs w:val="20"/>
        </w:rPr>
        <w:drawing>
          <wp:inline distT="0" distB="0" distL="0" distR="0" wp14:anchorId="35ACD338" wp14:editId="422FEB7A">
            <wp:extent cx="2312888" cy="2180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52.HEIC"/>
                    <pic:cNvPicPr/>
                  </pic:nvPicPr>
                  <pic:blipFill rotWithShape="1">
                    <a:blip r:embed="rId8"/>
                    <a:srcRect l="11619" t="-12" r="8820" b="12"/>
                    <a:stretch/>
                  </pic:blipFill>
                  <pic:spPr bwMode="auto">
                    <a:xfrm rot="10800000">
                      <a:off x="0" y="0"/>
                      <a:ext cx="2316213" cy="2183457"/>
                    </a:xfrm>
                    <a:prstGeom prst="rect">
                      <a:avLst/>
                    </a:prstGeom>
                    <a:ln>
                      <a:noFill/>
                    </a:ln>
                    <a:extLst>
                      <a:ext uri="{53640926-AAD7-44D8-BBD7-CCE9431645EC}">
                        <a14:shadowObscured xmlns:a14="http://schemas.microsoft.com/office/drawing/2010/main"/>
                      </a:ext>
                    </a:extLst>
                  </pic:spPr>
                </pic:pic>
              </a:graphicData>
            </a:graphic>
          </wp:inline>
        </w:drawing>
      </w:r>
    </w:p>
    <w:p w14:paraId="23E06778" w14:textId="77777777" w:rsidR="00A977F1" w:rsidRDefault="00A977F1" w:rsidP="00A977F1">
      <w:pPr>
        <w:contextualSpacing/>
        <w:mirrorIndents/>
        <w:jc w:val="both"/>
        <w:rPr>
          <w:sz w:val="20"/>
          <w:szCs w:val="20"/>
        </w:rPr>
      </w:pPr>
    </w:p>
    <w:p w14:paraId="72EE2921" w14:textId="77777777" w:rsidR="00A977F1" w:rsidRDefault="00A977F1" w:rsidP="00A977F1">
      <w:pPr>
        <w:contextualSpacing/>
        <w:mirrorIndents/>
        <w:jc w:val="center"/>
        <w:rPr>
          <w:sz w:val="20"/>
          <w:szCs w:val="20"/>
        </w:rPr>
      </w:pPr>
      <w:r w:rsidRPr="00ED0087">
        <w:rPr>
          <w:b/>
          <w:sz w:val="20"/>
          <w:szCs w:val="20"/>
        </w:rPr>
        <w:t>Figure 1:</w:t>
      </w:r>
      <w:r>
        <w:rPr>
          <w:sz w:val="20"/>
          <w:szCs w:val="20"/>
        </w:rPr>
        <w:t xml:space="preserve"> </w:t>
      </w:r>
      <w:r w:rsidRPr="0056163D">
        <w:rPr>
          <w:sz w:val="20"/>
          <w:szCs w:val="20"/>
        </w:rPr>
        <w:t xml:space="preserve">Gouty infiltration of the flexor </w:t>
      </w:r>
      <w:proofErr w:type="spellStart"/>
      <w:r w:rsidRPr="0056163D">
        <w:rPr>
          <w:sz w:val="20"/>
          <w:szCs w:val="20"/>
        </w:rPr>
        <w:t>digitorum</w:t>
      </w:r>
      <w:proofErr w:type="spellEnd"/>
      <w:r w:rsidRPr="0056163D">
        <w:rPr>
          <w:sz w:val="20"/>
          <w:szCs w:val="20"/>
        </w:rPr>
        <w:t xml:space="preserve"> </w:t>
      </w:r>
      <w:proofErr w:type="spellStart"/>
      <w:r w:rsidRPr="0056163D">
        <w:rPr>
          <w:sz w:val="20"/>
          <w:szCs w:val="20"/>
        </w:rPr>
        <w:t>superficialis</w:t>
      </w:r>
      <w:proofErr w:type="spellEnd"/>
      <w:r w:rsidRPr="0056163D">
        <w:rPr>
          <w:sz w:val="20"/>
          <w:szCs w:val="20"/>
        </w:rPr>
        <w:t xml:space="preserve"> and flexor </w:t>
      </w:r>
      <w:proofErr w:type="spellStart"/>
      <w:r w:rsidRPr="0056163D">
        <w:rPr>
          <w:sz w:val="20"/>
          <w:szCs w:val="20"/>
        </w:rPr>
        <w:t>digitorum</w:t>
      </w:r>
      <w:proofErr w:type="spellEnd"/>
      <w:r w:rsidRPr="0056163D">
        <w:rPr>
          <w:sz w:val="20"/>
          <w:szCs w:val="20"/>
        </w:rPr>
        <w:t xml:space="preserve"> </w:t>
      </w:r>
      <w:proofErr w:type="spellStart"/>
      <w:r w:rsidRPr="0056163D">
        <w:rPr>
          <w:sz w:val="20"/>
          <w:szCs w:val="20"/>
        </w:rPr>
        <w:t>profundus</w:t>
      </w:r>
      <w:proofErr w:type="spellEnd"/>
      <w:r w:rsidRPr="0056163D">
        <w:rPr>
          <w:sz w:val="20"/>
          <w:szCs w:val="20"/>
        </w:rPr>
        <w:t xml:space="preserve"> tendons</w:t>
      </w:r>
      <w:r>
        <w:rPr>
          <w:sz w:val="20"/>
          <w:szCs w:val="20"/>
        </w:rPr>
        <w:t>.</w:t>
      </w:r>
    </w:p>
    <w:p w14:paraId="4FE43DCB" w14:textId="4F3C38CD" w:rsidR="00A977F1" w:rsidRDefault="00A977F1" w:rsidP="00D121B0">
      <w:pPr>
        <w:contextualSpacing/>
        <w:mirrorIndents/>
        <w:jc w:val="both"/>
        <w:rPr>
          <w:color w:val="212121"/>
          <w:sz w:val="20"/>
          <w:szCs w:val="20"/>
          <w:shd w:val="clear" w:color="auto" w:fill="FFFFFF"/>
        </w:rPr>
      </w:pPr>
    </w:p>
    <w:p w14:paraId="66F93C8F" w14:textId="77777777" w:rsidR="00A977F1" w:rsidRDefault="00A977F1" w:rsidP="00A977F1">
      <w:pPr>
        <w:contextualSpacing/>
        <w:mirrorIndents/>
        <w:jc w:val="center"/>
        <w:rPr>
          <w:sz w:val="20"/>
          <w:szCs w:val="20"/>
        </w:rPr>
      </w:pPr>
      <w:r w:rsidRPr="0056163D">
        <w:rPr>
          <w:noProof/>
          <w:sz w:val="20"/>
          <w:szCs w:val="20"/>
        </w:rPr>
        <w:drawing>
          <wp:inline distT="0" distB="0" distL="0" distR="0" wp14:anchorId="76A80793" wp14:editId="27377D7A">
            <wp:extent cx="2397570" cy="1809134"/>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47.HEIC"/>
                    <pic:cNvPicPr/>
                  </pic:nvPicPr>
                  <pic:blipFill rotWithShape="1">
                    <a:blip r:embed="rId9"/>
                    <a:srcRect l="19258" t="-1" r="9808" b="28634"/>
                    <a:stretch/>
                  </pic:blipFill>
                  <pic:spPr bwMode="auto">
                    <a:xfrm>
                      <a:off x="0" y="0"/>
                      <a:ext cx="2400792" cy="181156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2951CA2" w14:textId="77777777" w:rsidR="00A977F1" w:rsidRDefault="00A977F1" w:rsidP="00A977F1">
      <w:pPr>
        <w:contextualSpacing/>
        <w:mirrorIndents/>
        <w:jc w:val="both"/>
        <w:rPr>
          <w:sz w:val="20"/>
          <w:szCs w:val="20"/>
        </w:rPr>
      </w:pPr>
    </w:p>
    <w:p w14:paraId="2D782ECC" w14:textId="77777777" w:rsidR="00A977F1" w:rsidRDefault="00A977F1" w:rsidP="00A977F1">
      <w:pPr>
        <w:contextualSpacing/>
        <w:mirrorIndents/>
        <w:jc w:val="center"/>
        <w:rPr>
          <w:sz w:val="20"/>
          <w:szCs w:val="20"/>
        </w:rPr>
      </w:pPr>
      <w:r w:rsidRPr="00ED0087">
        <w:rPr>
          <w:b/>
          <w:sz w:val="20"/>
          <w:szCs w:val="20"/>
        </w:rPr>
        <w:t>Figure 2:</w:t>
      </w:r>
      <w:r>
        <w:rPr>
          <w:sz w:val="20"/>
          <w:szCs w:val="20"/>
        </w:rPr>
        <w:t xml:space="preserve"> </w:t>
      </w:r>
      <w:r w:rsidRPr="0056163D">
        <w:rPr>
          <w:sz w:val="20"/>
          <w:szCs w:val="20"/>
        </w:rPr>
        <w:t>Gouty infiltration of the extensor tendon</w:t>
      </w:r>
      <w:r>
        <w:rPr>
          <w:sz w:val="20"/>
          <w:szCs w:val="20"/>
        </w:rPr>
        <w:t>.</w:t>
      </w:r>
    </w:p>
    <w:p w14:paraId="545BF600" w14:textId="77777777" w:rsidR="00A977F1" w:rsidRPr="0056163D" w:rsidRDefault="00A977F1" w:rsidP="00D121B0">
      <w:pPr>
        <w:contextualSpacing/>
        <w:mirrorIndents/>
        <w:jc w:val="both"/>
        <w:rPr>
          <w:color w:val="212121"/>
          <w:sz w:val="20"/>
          <w:szCs w:val="20"/>
          <w:shd w:val="clear" w:color="auto" w:fill="FFFFFF"/>
        </w:rPr>
      </w:pPr>
    </w:p>
    <w:p w14:paraId="621211CA" w14:textId="0A980C21" w:rsidR="00EA3FD1" w:rsidRDefault="00393731" w:rsidP="00D121B0">
      <w:pPr>
        <w:contextualSpacing/>
        <w:mirrorIndents/>
        <w:jc w:val="both"/>
        <w:rPr>
          <w:b/>
          <w:color w:val="212121"/>
          <w:sz w:val="20"/>
          <w:szCs w:val="20"/>
          <w:shd w:val="clear" w:color="auto" w:fill="FFFFFF"/>
        </w:rPr>
      </w:pPr>
      <w:r w:rsidRPr="001F4EF6">
        <w:rPr>
          <w:b/>
          <w:color w:val="212121"/>
          <w:sz w:val="20"/>
          <w:szCs w:val="20"/>
          <w:shd w:val="clear" w:color="auto" w:fill="FFFFFF"/>
        </w:rPr>
        <w:t>Patient 2</w:t>
      </w:r>
    </w:p>
    <w:p w14:paraId="0616042A" w14:textId="77777777" w:rsidR="001F4EF6" w:rsidRPr="0056163D" w:rsidRDefault="001F4EF6" w:rsidP="00D121B0">
      <w:pPr>
        <w:contextualSpacing/>
        <w:mirrorIndents/>
        <w:jc w:val="both"/>
        <w:rPr>
          <w:color w:val="212121"/>
          <w:sz w:val="20"/>
          <w:szCs w:val="20"/>
          <w:shd w:val="clear" w:color="auto" w:fill="FFFFFF"/>
        </w:rPr>
      </w:pPr>
    </w:p>
    <w:p w14:paraId="6A4151C4" w14:textId="30DBB62F" w:rsidR="00393731" w:rsidRPr="0056163D" w:rsidRDefault="00393731" w:rsidP="00D121B0">
      <w:pPr>
        <w:contextualSpacing/>
        <w:mirrorIndents/>
        <w:jc w:val="both"/>
        <w:rPr>
          <w:color w:val="212121"/>
          <w:sz w:val="20"/>
          <w:szCs w:val="20"/>
          <w:shd w:val="clear" w:color="auto" w:fill="FFFFFF"/>
        </w:rPr>
      </w:pPr>
      <w:r w:rsidRPr="0056163D">
        <w:rPr>
          <w:color w:val="212121"/>
          <w:sz w:val="20"/>
          <w:szCs w:val="20"/>
          <w:shd w:val="clear" w:color="auto" w:fill="FFFFFF"/>
        </w:rPr>
        <w:t>A 52-year-old right-hand dominant male nurse with a history of hypertension and previous gout flare of the knee (not on any urate-lowering medications) presented seven weeks after breaking up a dog fight during which he obtained several open wounds to his bilateral hands. He underwent wound irrigation in the Emergency Department at the time of injury and was discharged on antibiotics. His course was complicated by ongoing swelling and tenderness of the right hand, and he received additional treatment with Levofloxacin. Symptoms were acutely exacerbated after a ground level fall. The patient endorsed persistent pain with active and passive motion of the thumb, ring, and small fingers. On evaluation, there was prominent edema, erythema, and pain of the right hand along the thumb, small finger, and across th</w:t>
      </w:r>
      <w:r w:rsidR="006B746A">
        <w:rPr>
          <w:color w:val="212121"/>
          <w:sz w:val="20"/>
          <w:szCs w:val="20"/>
          <w:shd w:val="clear" w:color="auto" w:fill="FFFFFF"/>
        </w:rPr>
        <w:t>e palm. Magnetic Resonance I</w:t>
      </w:r>
      <w:r w:rsidRPr="0056163D">
        <w:rPr>
          <w:color w:val="212121"/>
          <w:sz w:val="20"/>
          <w:szCs w:val="20"/>
          <w:shd w:val="clear" w:color="auto" w:fill="FFFFFF"/>
        </w:rPr>
        <w:t>maging (M</w:t>
      </w:r>
      <w:r w:rsidRPr="0056163D">
        <w:rPr>
          <w:sz w:val="20"/>
          <w:szCs w:val="20"/>
        </w:rPr>
        <w:t xml:space="preserve">RI) demonstrated skin and subcutaneous edema and enhancement as well as heterogeneity and disorganization consistent with tenosynovitis </w:t>
      </w:r>
      <w:r w:rsidRPr="0056163D">
        <w:rPr>
          <w:sz w:val="20"/>
          <w:szCs w:val="20"/>
        </w:rPr>
        <w:lastRenderedPageBreak/>
        <w:t>of the flexor tendons of the thumb and small finger extending from the carpal tunnel to the distal phalanges</w:t>
      </w:r>
      <w:r w:rsidRPr="0056163D">
        <w:rPr>
          <w:color w:val="212121"/>
          <w:sz w:val="20"/>
          <w:szCs w:val="20"/>
          <w:shd w:val="clear" w:color="auto" w:fill="FFFFFF"/>
        </w:rPr>
        <w:t xml:space="preserve"> </w:t>
      </w:r>
      <w:r w:rsidRPr="006B746A">
        <w:rPr>
          <w:color w:val="FF0000"/>
          <w:sz w:val="20"/>
          <w:szCs w:val="20"/>
          <w:shd w:val="clear" w:color="auto" w:fill="FFFFFF"/>
        </w:rPr>
        <w:t>(Figure 3)</w:t>
      </w:r>
      <w:r w:rsidRPr="0056163D">
        <w:rPr>
          <w:color w:val="212121"/>
          <w:sz w:val="20"/>
          <w:szCs w:val="20"/>
          <w:shd w:val="clear" w:color="auto" w:fill="FFFFFF"/>
        </w:rPr>
        <w:t>. He remained afebrile with a normal white blood cell count (9.3).</w:t>
      </w:r>
    </w:p>
    <w:p w14:paraId="046FE73C" w14:textId="652BF5EE" w:rsidR="003215F8" w:rsidRPr="0056163D" w:rsidRDefault="003215F8" w:rsidP="003215F8">
      <w:pPr>
        <w:contextualSpacing/>
        <w:mirrorIndents/>
        <w:jc w:val="both"/>
        <w:rPr>
          <w:sz w:val="20"/>
          <w:szCs w:val="20"/>
        </w:rPr>
      </w:pPr>
    </w:p>
    <w:p w14:paraId="54069F32" w14:textId="77777777" w:rsidR="003215F8" w:rsidRPr="0056163D" w:rsidRDefault="003215F8" w:rsidP="003215F8">
      <w:pPr>
        <w:contextualSpacing/>
        <w:mirrorIndents/>
        <w:jc w:val="center"/>
        <w:rPr>
          <w:sz w:val="20"/>
          <w:szCs w:val="20"/>
        </w:rPr>
      </w:pPr>
      <w:r w:rsidRPr="0056163D">
        <w:rPr>
          <w:noProof/>
          <w:sz w:val="20"/>
          <w:szCs w:val="20"/>
        </w:rPr>
        <w:drawing>
          <wp:inline distT="0" distB="0" distL="0" distR="0" wp14:anchorId="20DADD50" wp14:editId="07691B09">
            <wp:extent cx="2805441" cy="1303361"/>
            <wp:effectExtent l="0" t="0" r="0" b="0"/>
            <wp:docPr id="6" name="Picture 5" descr="Screen Shot 2016-09-27 at 11.28.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6-09-27 at 11.28.55 PM.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56356" cy="1327015"/>
                    </a:xfrm>
                    <a:prstGeom prst="rect">
                      <a:avLst/>
                    </a:prstGeom>
                  </pic:spPr>
                </pic:pic>
              </a:graphicData>
            </a:graphic>
          </wp:inline>
        </w:drawing>
      </w:r>
    </w:p>
    <w:p w14:paraId="1D16160F" w14:textId="77777777" w:rsidR="003215F8" w:rsidRDefault="003215F8" w:rsidP="003215F8">
      <w:pPr>
        <w:contextualSpacing/>
        <w:mirrorIndents/>
        <w:jc w:val="center"/>
        <w:rPr>
          <w:sz w:val="20"/>
          <w:szCs w:val="20"/>
        </w:rPr>
      </w:pPr>
      <w:r w:rsidRPr="0056163D">
        <w:rPr>
          <w:noProof/>
          <w:sz w:val="20"/>
          <w:szCs w:val="20"/>
        </w:rPr>
        <w:drawing>
          <wp:inline distT="0" distB="0" distL="0" distR="0" wp14:anchorId="663EDAFE" wp14:editId="63104EC8">
            <wp:extent cx="2804908" cy="1272446"/>
            <wp:effectExtent l="0" t="0" r="0" b="4445"/>
            <wp:docPr id="7" name="Picture 6" descr="Screen Shot 2016-09-27 at 11.2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6-09-27 at 11.29.09 PM.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86391" cy="1309411"/>
                    </a:xfrm>
                    <a:prstGeom prst="rect">
                      <a:avLst/>
                    </a:prstGeom>
                  </pic:spPr>
                </pic:pic>
              </a:graphicData>
            </a:graphic>
          </wp:inline>
        </w:drawing>
      </w:r>
    </w:p>
    <w:p w14:paraId="73590F91" w14:textId="77777777" w:rsidR="003215F8" w:rsidRDefault="003215F8" w:rsidP="003215F8">
      <w:pPr>
        <w:contextualSpacing/>
        <w:mirrorIndents/>
        <w:jc w:val="both"/>
        <w:rPr>
          <w:sz w:val="20"/>
          <w:szCs w:val="20"/>
        </w:rPr>
      </w:pPr>
    </w:p>
    <w:p w14:paraId="3AB730E0" w14:textId="77777777" w:rsidR="003215F8" w:rsidRPr="0056163D" w:rsidRDefault="003215F8" w:rsidP="003215F8">
      <w:pPr>
        <w:contextualSpacing/>
        <w:mirrorIndents/>
        <w:jc w:val="both"/>
        <w:rPr>
          <w:sz w:val="20"/>
          <w:szCs w:val="20"/>
        </w:rPr>
      </w:pPr>
      <w:r w:rsidRPr="00ED0087">
        <w:rPr>
          <w:b/>
          <w:sz w:val="20"/>
          <w:szCs w:val="20"/>
        </w:rPr>
        <w:t>Figure 3:</w:t>
      </w:r>
      <w:r>
        <w:rPr>
          <w:sz w:val="20"/>
          <w:szCs w:val="20"/>
        </w:rPr>
        <w:t xml:space="preserve"> </w:t>
      </w:r>
      <w:r w:rsidRPr="0056163D">
        <w:rPr>
          <w:sz w:val="20"/>
          <w:szCs w:val="20"/>
        </w:rPr>
        <w:t>MRI demonstrating skin and subcutaneous edema and enhancement as well as heterogeneity and disorganization consistent with tenosynovitis of the flexor tendons of the thumb (top) and small finger (bottom).</w:t>
      </w:r>
    </w:p>
    <w:p w14:paraId="637E6EDC" w14:textId="77777777" w:rsidR="003215F8" w:rsidRPr="0056163D" w:rsidRDefault="003215F8" w:rsidP="00D121B0">
      <w:pPr>
        <w:contextualSpacing/>
        <w:mirrorIndents/>
        <w:jc w:val="both"/>
        <w:rPr>
          <w:color w:val="212121"/>
          <w:sz w:val="20"/>
          <w:szCs w:val="20"/>
          <w:shd w:val="clear" w:color="auto" w:fill="FFFFFF"/>
        </w:rPr>
      </w:pPr>
    </w:p>
    <w:p w14:paraId="54411689" w14:textId="77777777" w:rsidR="00393731" w:rsidRPr="0056163D" w:rsidRDefault="00393731" w:rsidP="00D121B0">
      <w:pPr>
        <w:contextualSpacing/>
        <w:mirrorIndents/>
        <w:jc w:val="both"/>
        <w:rPr>
          <w:color w:val="212121"/>
          <w:sz w:val="20"/>
          <w:szCs w:val="20"/>
          <w:shd w:val="clear" w:color="auto" w:fill="FFFFFF"/>
        </w:rPr>
      </w:pPr>
      <w:r w:rsidRPr="0056163D">
        <w:rPr>
          <w:color w:val="212121"/>
          <w:sz w:val="20"/>
          <w:szCs w:val="20"/>
          <w:shd w:val="clear" w:color="auto" w:fill="FFFFFF"/>
        </w:rPr>
        <w:t xml:space="preserve">To treat suspected suppurative flexor tenosynovitis, the patient underwent operative irrigation and debridement. Intraoperatively, caseating granulomas were found embedded in soft tissue, flexor tendons, and tendon sheaths </w:t>
      </w:r>
      <w:r w:rsidRPr="006B746A">
        <w:rPr>
          <w:color w:val="FF0000"/>
          <w:sz w:val="20"/>
          <w:szCs w:val="20"/>
          <w:shd w:val="clear" w:color="auto" w:fill="FFFFFF"/>
        </w:rPr>
        <w:t>(Figure 4)</w:t>
      </w:r>
      <w:r w:rsidRPr="0056163D">
        <w:rPr>
          <w:color w:val="212121"/>
          <w:sz w:val="20"/>
          <w:szCs w:val="20"/>
          <w:shd w:val="clear" w:color="auto" w:fill="FFFFFF"/>
        </w:rPr>
        <w:t xml:space="preserve">. The ulnar half of the flexor pollicis longus was excised as it was invested in caseating granulomatous tissue. Remaining structures in the thumb were preserved. In the small finger, the majority of the pulley system required debridement. Extensive </w:t>
      </w:r>
      <w:proofErr w:type="spellStart"/>
      <w:r w:rsidRPr="0056163D">
        <w:rPr>
          <w:color w:val="212121"/>
          <w:sz w:val="20"/>
          <w:szCs w:val="20"/>
          <w:shd w:val="clear" w:color="auto" w:fill="FFFFFF"/>
        </w:rPr>
        <w:t>tenosynovectomy</w:t>
      </w:r>
      <w:proofErr w:type="spellEnd"/>
      <w:r w:rsidRPr="0056163D">
        <w:rPr>
          <w:color w:val="212121"/>
          <w:sz w:val="20"/>
          <w:szCs w:val="20"/>
          <w:shd w:val="clear" w:color="auto" w:fill="FFFFFF"/>
        </w:rPr>
        <w:t xml:space="preserve"> of the FDP and FDS tendons improved range of motion. Caseating granulomas encasing all flexor tendons within the carpal tunnel were excised. Granulomas within the soft tissue were debrided from the elevated skin flaps. Pathology confirmed crystalline material consistent with monosodium urate deposition. The patient received 3 months of hand therapy, improving range of motion significantly. </w:t>
      </w:r>
    </w:p>
    <w:p w14:paraId="1F8764F3" w14:textId="49544F36" w:rsidR="0013084A" w:rsidRPr="0056163D" w:rsidRDefault="0013084A" w:rsidP="0013084A">
      <w:pPr>
        <w:contextualSpacing/>
        <w:mirrorIndents/>
        <w:jc w:val="both"/>
        <w:rPr>
          <w:sz w:val="20"/>
          <w:szCs w:val="20"/>
        </w:rPr>
      </w:pPr>
    </w:p>
    <w:p w14:paraId="28387221" w14:textId="77777777" w:rsidR="0013084A" w:rsidRPr="0056163D" w:rsidRDefault="0013084A" w:rsidP="0013084A">
      <w:pPr>
        <w:contextualSpacing/>
        <w:mirrorIndents/>
        <w:jc w:val="center"/>
        <w:rPr>
          <w:sz w:val="20"/>
          <w:szCs w:val="20"/>
        </w:rPr>
      </w:pPr>
      <w:r w:rsidRPr="0056163D">
        <w:rPr>
          <w:noProof/>
          <w:sz w:val="20"/>
          <w:szCs w:val="20"/>
        </w:rPr>
        <w:drawing>
          <wp:inline distT="0" distB="0" distL="0" distR="0" wp14:anchorId="16B6CD63" wp14:editId="7DF2091B">
            <wp:extent cx="2818263" cy="1878842"/>
            <wp:effectExtent l="0" t="0" r="1270" b="7620"/>
            <wp:docPr id="3" name="Picture 5" descr="malusch3 %287.29.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lusch3 %287.29.16%29.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9471" cy="1886314"/>
                    </a:xfrm>
                    <a:prstGeom prst="rect">
                      <a:avLst/>
                    </a:prstGeom>
                  </pic:spPr>
                </pic:pic>
              </a:graphicData>
            </a:graphic>
          </wp:inline>
        </w:drawing>
      </w:r>
    </w:p>
    <w:p w14:paraId="187F2A24" w14:textId="77777777" w:rsidR="0013084A" w:rsidRDefault="0013084A" w:rsidP="0013084A">
      <w:pPr>
        <w:contextualSpacing/>
        <w:mirrorIndents/>
        <w:jc w:val="both"/>
        <w:rPr>
          <w:sz w:val="20"/>
          <w:szCs w:val="20"/>
        </w:rPr>
      </w:pPr>
    </w:p>
    <w:p w14:paraId="61806BDC" w14:textId="77777777" w:rsidR="0013084A" w:rsidRPr="0056163D" w:rsidRDefault="0013084A" w:rsidP="0013084A">
      <w:pPr>
        <w:contextualSpacing/>
        <w:mirrorIndents/>
        <w:jc w:val="center"/>
        <w:rPr>
          <w:color w:val="212121"/>
          <w:sz w:val="20"/>
          <w:szCs w:val="20"/>
          <w:shd w:val="clear" w:color="auto" w:fill="FFFFFF"/>
        </w:rPr>
      </w:pPr>
      <w:r w:rsidRPr="00ED0087">
        <w:rPr>
          <w:b/>
          <w:sz w:val="20"/>
          <w:szCs w:val="20"/>
        </w:rPr>
        <w:t>Figure 4:</w:t>
      </w:r>
      <w:r>
        <w:rPr>
          <w:sz w:val="20"/>
          <w:szCs w:val="20"/>
        </w:rPr>
        <w:t xml:space="preserve"> </w:t>
      </w:r>
      <w:proofErr w:type="spellStart"/>
      <w:r w:rsidRPr="0056163D">
        <w:rPr>
          <w:color w:val="212121"/>
          <w:sz w:val="20"/>
          <w:szCs w:val="20"/>
          <w:shd w:val="clear" w:color="auto" w:fill="FFFFFF"/>
        </w:rPr>
        <w:t>Caseating</w:t>
      </w:r>
      <w:proofErr w:type="spellEnd"/>
      <w:r w:rsidRPr="0056163D">
        <w:rPr>
          <w:color w:val="212121"/>
          <w:sz w:val="20"/>
          <w:szCs w:val="20"/>
          <w:shd w:val="clear" w:color="auto" w:fill="FFFFFF"/>
        </w:rPr>
        <w:t xml:space="preserve"> granulomas embedded in soft tissue, flexor tendons, and tendon sheaths.</w:t>
      </w:r>
    </w:p>
    <w:p w14:paraId="3FC5BA43" w14:textId="77777777" w:rsidR="0013084A" w:rsidRPr="0056163D" w:rsidRDefault="0013084A" w:rsidP="00D121B0">
      <w:pPr>
        <w:contextualSpacing/>
        <w:mirrorIndents/>
        <w:jc w:val="both"/>
        <w:rPr>
          <w:color w:val="212121"/>
          <w:sz w:val="20"/>
          <w:szCs w:val="20"/>
          <w:shd w:val="clear" w:color="auto" w:fill="FFFFFF"/>
        </w:rPr>
      </w:pPr>
    </w:p>
    <w:p w14:paraId="6516B8D9" w14:textId="2917E845" w:rsidR="00EA3FD1" w:rsidRDefault="00393731" w:rsidP="00D121B0">
      <w:pPr>
        <w:contextualSpacing/>
        <w:mirrorIndents/>
        <w:jc w:val="both"/>
        <w:rPr>
          <w:b/>
          <w:color w:val="212121"/>
          <w:sz w:val="20"/>
          <w:szCs w:val="20"/>
          <w:shd w:val="clear" w:color="auto" w:fill="FFFFFF"/>
        </w:rPr>
      </w:pPr>
      <w:r w:rsidRPr="00351A58">
        <w:rPr>
          <w:b/>
          <w:color w:val="212121"/>
          <w:sz w:val="20"/>
          <w:szCs w:val="20"/>
          <w:shd w:val="clear" w:color="auto" w:fill="FFFFFF"/>
        </w:rPr>
        <w:t>Patient 3</w:t>
      </w:r>
    </w:p>
    <w:p w14:paraId="153672B0" w14:textId="77777777" w:rsidR="00351A58" w:rsidRPr="00351A58" w:rsidRDefault="00351A58" w:rsidP="00D121B0">
      <w:pPr>
        <w:contextualSpacing/>
        <w:mirrorIndents/>
        <w:jc w:val="both"/>
        <w:rPr>
          <w:color w:val="212121"/>
          <w:sz w:val="20"/>
          <w:szCs w:val="20"/>
          <w:shd w:val="clear" w:color="auto" w:fill="FFFFFF"/>
        </w:rPr>
      </w:pPr>
    </w:p>
    <w:p w14:paraId="33BE553E" w14:textId="5685B5F6" w:rsidR="00393731" w:rsidRPr="0056163D" w:rsidRDefault="00393731" w:rsidP="00D121B0">
      <w:pPr>
        <w:contextualSpacing/>
        <w:mirrorIndents/>
        <w:jc w:val="both"/>
        <w:rPr>
          <w:color w:val="212121"/>
          <w:sz w:val="20"/>
          <w:szCs w:val="20"/>
          <w:shd w:val="clear" w:color="auto" w:fill="FFFFFF"/>
        </w:rPr>
      </w:pPr>
      <w:r w:rsidRPr="0056163D">
        <w:rPr>
          <w:color w:val="212121"/>
          <w:sz w:val="20"/>
          <w:szCs w:val="20"/>
          <w:shd w:val="clear" w:color="auto" w:fill="FFFFFF"/>
        </w:rPr>
        <w:t xml:space="preserve">An 82-year-old right-hand dominant man with a known history of gout, managed medically with allopurinol and colchicine, presented with middle finger flexion contracture, complaining of increasing pain and dysfunction. He had previously undergone right middle finger metacarpophalangeal arthroplasty in 2011 at which time gout was found within the joint. He subsequently underwent a left ulnar nerve neurolysis at the elbow and carpal tunnel </w:t>
      </w:r>
      <w:r w:rsidRPr="0056163D">
        <w:rPr>
          <w:color w:val="212121"/>
          <w:sz w:val="20"/>
          <w:szCs w:val="20"/>
          <w:shd w:val="clear" w:color="auto" w:fill="FFFFFF"/>
        </w:rPr>
        <w:lastRenderedPageBreak/>
        <w:t xml:space="preserve">release with </w:t>
      </w:r>
      <w:proofErr w:type="spellStart"/>
      <w:r w:rsidRPr="0056163D">
        <w:rPr>
          <w:color w:val="212121"/>
          <w:sz w:val="20"/>
          <w:szCs w:val="20"/>
          <w:shd w:val="clear" w:color="auto" w:fill="FFFFFF"/>
        </w:rPr>
        <w:t>tenosynovectomy</w:t>
      </w:r>
      <w:proofErr w:type="spellEnd"/>
      <w:r w:rsidRPr="0056163D">
        <w:rPr>
          <w:color w:val="212121"/>
          <w:sz w:val="20"/>
          <w:szCs w:val="20"/>
          <w:shd w:val="clear" w:color="auto" w:fill="FFFFFF"/>
        </w:rPr>
        <w:t xml:space="preserve"> in May 2016 without evidence of gouty deposits at these sites.</w:t>
      </w:r>
      <w:r w:rsidR="007C7A54">
        <w:rPr>
          <w:color w:val="212121"/>
          <w:sz w:val="20"/>
          <w:szCs w:val="20"/>
          <w:shd w:val="clear" w:color="auto" w:fill="FFFFFF"/>
        </w:rPr>
        <w:t xml:space="preserve"> </w:t>
      </w:r>
      <w:r w:rsidRPr="0056163D">
        <w:rPr>
          <w:color w:val="212121"/>
          <w:sz w:val="20"/>
          <w:szCs w:val="20"/>
          <w:shd w:val="clear" w:color="auto" w:fill="FFFFFF"/>
        </w:rPr>
        <w:t xml:space="preserve">On exam, he had rigid flexion contracture of the right middle finger with the PIP joint fixed at 80 degrees and the DIP joint at 45 degrees. In September 2018, he underwent </w:t>
      </w:r>
      <w:proofErr w:type="spellStart"/>
      <w:r w:rsidRPr="0056163D">
        <w:rPr>
          <w:color w:val="212121"/>
          <w:sz w:val="20"/>
          <w:szCs w:val="20"/>
          <w:shd w:val="clear" w:color="auto" w:fill="FFFFFF"/>
        </w:rPr>
        <w:t>tenosynovectomy</w:t>
      </w:r>
      <w:proofErr w:type="spellEnd"/>
      <w:r w:rsidRPr="0056163D">
        <w:rPr>
          <w:color w:val="212121"/>
          <w:sz w:val="20"/>
          <w:szCs w:val="20"/>
          <w:shd w:val="clear" w:color="auto" w:fill="FFFFFF"/>
        </w:rPr>
        <w:t xml:space="preserve"> to improve motion. A Brunner incision was made; A1 and A3 pulleys were released with preservation of A2. Gout was found within FDS and FDP tendons; FDP was ruptured, precluding FDS tendon gliding. Due to the extent of disease, the remaining ruptured ends of the FDP were resected (3.8 cm of tendon length). </w:t>
      </w:r>
      <w:proofErr w:type="spellStart"/>
      <w:r w:rsidRPr="0056163D">
        <w:rPr>
          <w:color w:val="212121"/>
          <w:sz w:val="20"/>
          <w:szCs w:val="20"/>
          <w:shd w:val="clear" w:color="auto" w:fill="FFFFFF"/>
        </w:rPr>
        <w:t>Tenolysis</w:t>
      </w:r>
      <w:proofErr w:type="spellEnd"/>
      <w:r w:rsidRPr="0056163D">
        <w:rPr>
          <w:color w:val="212121"/>
          <w:sz w:val="20"/>
          <w:szCs w:val="20"/>
          <w:shd w:val="clear" w:color="auto" w:fill="FFFFFF"/>
        </w:rPr>
        <w:t xml:space="preserve"> of the FDS tendon and PIP joint capsulectomy improved PIP joint flexion contracture (from 80 to 10 degrees) and DIP joint contracture (from 45 to 5 degrees). At 1-month follow-up, the patient showed mild flexion contracture of the right middle finger (30 degrees from 80 degrees on initial presentation).</w:t>
      </w:r>
    </w:p>
    <w:p w14:paraId="27D90165" w14:textId="77777777" w:rsidR="00393731" w:rsidRPr="0056163D" w:rsidRDefault="00393731" w:rsidP="00D121B0">
      <w:pPr>
        <w:contextualSpacing/>
        <w:mirrorIndents/>
        <w:jc w:val="both"/>
        <w:rPr>
          <w:color w:val="212121"/>
          <w:sz w:val="20"/>
          <w:szCs w:val="20"/>
          <w:shd w:val="clear" w:color="auto" w:fill="FFFFFF"/>
        </w:rPr>
      </w:pPr>
    </w:p>
    <w:p w14:paraId="4B173950" w14:textId="77777777" w:rsidR="00393731" w:rsidRPr="0020706D" w:rsidRDefault="00393731" w:rsidP="00D121B0">
      <w:pPr>
        <w:contextualSpacing/>
        <w:mirrorIndents/>
        <w:jc w:val="both"/>
        <w:rPr>
          <w:b/>
          <w:color w:val="212121"/>
          <w:sz w:val="22"/>
          <w:szCs w:val="22"/>
          <w:shd w:val="clear" w:color="auto" w:fill="FFFFFF"/>
        </w:rPr>
      </w:pPr>
      <w:r w:rsidRPr="0020706D">
        <w:rPr>
          <w:b/>
          <w:color w:val="212121"/>
          <w:sz w:val="22"/>
          <w:szCs w:val="22"/>
          <w:shd w:val="clear" w:color="auto" w:fill="FFFFFF"/>
        </w:rPr>
        <w:t>Discussion</w:t>
      </w:r>
      <w:r w:rsidRPr="0020706D">
        <w:rPr>
          <w:b/>
          <w:color w:val="212121"/>
          <w:sz w:val="22"/>
          <w:szCs w:val="22"/>
          <w:shd w:val="clear" w:color="auto" w:fill="FFFFFF"/>
        </w:rPr>
        <w:tab/>
      </w:r>
    </w:p>
    <w:p w14:paraId="54FE7FB0" w14:textId="77777777" w:rsidR="00EA3FD1" w:rsidRPr="0056163D" w:rsidRDefault="00EA3FD1" w:rsidP="00D121B0">
      <w:pPr>
        <w:contextualSpacing/>
        <w:mirrorIndents/>
        <w:jc w:val="both"/>
        <w:rPr>
          <w:color w:val="212121"/>
          <w:sz w:val="20"/>
          <w:szCs w:val="20"/>
          <w:shd w:val="clear" w:color="auto" w:fill="FFFFFF"/>
        </w:rPr>
      </w:pPr>
    </w:p>
    <w:p w14:paraId="427563AC" w14:textId="0093C1DE" w:rsidR="00EA3FD1" w:rsidRPr="0056163D" w:rsidRDefault="00393731" w:rsidP="00D121B0">
      <w:pPr>
        <w:contextualSpacing/>
        <w:mirrorIndents/>
        <w:jc w:val="both"/>
        <w:rPr>
          <w:color w:val="212121"/>
          <w:sz w:val="20"/>
          <w:szCs w:val="20"/>
          <w:shd w:val="clear" w:color="auto" w:fill="FFFFFF"/>
        </w:rPr>
      </w:pPr>
      <w:r w:rsidRPr="0056163D">
        <w:rPr>
          <w:color w:val="212121"/>
          <w:sz w:val="20"/>
          <w:szCs w:val="20"/>
          <w:shd w:val="clear" w:color="auto" w:fill="FFFFFF"/>
        </w:rPr>
        <w:t>Gout develops when elevated levels of serum uric acid lead to deposition of monosodium crystals within the body including synovial fluid, subcutaneous tissues, joints, and kidneys</w:t>
      </w:r>
      <w:r w:rsidR="005505FD">
        <w:rPr>
          <w:color w:val="212121"/>
          <w:sz w:val="20"/>
          <w:szCs w:val="20"/>
          <w:shd w:val="clear" w:color="auto" w:fill="FFFFFF"/>
        </w:rPr>
        <w:t xml:space="preserve"> </w:t>
      </w:r>
      <w:r w:rsidR="005505FD" w:rsidRPr="00766073">
        <w:rPr>
          <w:color w:val="FF0000"/>
          <w:sz w:val="20"/>
          <w:szCs w:val="20"/>
        </w:rPr>
        <w:t>[</w:t>
      </w:r>
      <w:r w:rsidR="005505FD">
        <w:rPr>
          <w:color w:val="FF0000"/>
          <w:sz w:val="20"/>
          <w:szCs w:val="20"/>
        </w:rPr>
        <w:t>5</w:t>
      </w:r>
      <w:r w:rsidR="005505FD" w:rsidRPr="00766073">
        <w:rPr>
          <w:color w:val="FF0000"/>
          <w:sz w:val="20"/>
          <w:szCs w:val="20"/>
        </w:rPr>
        <w:t>]</w:t>
      </w:r>
      <w:r w:rsidRPr="0056163D">
        <w:rPr>
          <w:color w:val="212121"/>
          <w:sz w:val="20"/>
          <w:szCs w:val="20"/>
          <w:shd w:val="clear" w:color="auto" w:fill="FFFFFF"/>
        </w:rPr>
        <w:t>.</w:t>
      </w:r>
      <w:r w:rsidR="005505FD">
        <w:rPr>
          <w:color w:val="212121"/>
          <w:sz w:val="20"/>
          <w:szCs w:val="20"/>
          <w:shd w:val="clear" w:color="auto" w:fill="FFFFFF"/>
        </w:rPr>
        <w:t xml:space="preserve"> </w:t>
      </w:r>
      <w:r w:rsidRPr="0056163D">
        <w:rPr>
          <w:color w:val="212121"/>
          <w:sz w:val="20"/>
          <w:szCs w:val="20"/>
          <w:shd w:val="clear" w:color="auto" w:fill="FFFFFF"/>
        </w:rPr>
        <w:t>Under rare circumstances, deposits within tendons in the hand can occur. Due to its infrequent incidence, diagnosis of gouty tendinitis is often missed. Patients typically have a chronic history of gout at other sites, highlighting the importance of a thorough medical history on initial evaluation</w:t>
      </w:r>
      <w:r w:rsidR="0062282F">
        <w:rPr>
          <w:color w:val="212121"/>
          <w:sz w:val="20"/>
          <w:szCs w:val="20"/>
          <w:shd w:val="clear" w:color="auto" w:fill="FFFFFF"/>
        </w:rPr>
        <w:t xml:space="preserve"> </w:t>
      </w:r>
      <w:r w:rsidR="0062282F" w:rsidRPr="00766073">
        <w:rPr>
          <w:color w:val="FF0000"/>
          <w:sz w:val="20"/>
          <w:szCs w:val="20"/>
        </w:rPr>
        <w:t>[</w:t>
      </w:r>
      <w:r w:rsidR="0062282F">
        <w:rPr>
          <w:color w:val="FF0000"/>
          <w:sz w:val="20"/>
          <w:szCs w:val="20"/>
        </w:rPr>
        <w:t>5</w:t>
      </w:r>
      <w:r w:rsidR="0062282F" w:rsidRPr="00766073">
        <w:rPr>
          <w:color w:val="FF0000"/>
          <w:sz w:val="20"/>
          <w:szCs w:val="20"/>
        </w:rPr>
        <w:t>]</w:t>
      </w:r>
      <w:r w:rsidRPr="0056163D">
        <w:rPr>
          <w:color w:val="212121"/>
          <w:sz w:val="20"/>
          <w:szCs w:val="20"/>
          <w:shd w:val="clear" w:color="auto" w:fill="FFFFFF"/>
        </w:rPr>
        <w:t>.</w:t>
      </w:r>
      <w:r w:rsidR="0062282F">
        <w:rPr>
          <w:color w:val="212121"/>
          <w:sz w:val="20"/>
          <w:szCs w:val="20"/>
          <w:shd w:val="clear" w:color="auto" w:fill="FFFFFF"/>
        </w:rPr>
        <w:t xml:space="preserve"> </w:t>
      </w:r>
      <w:r w:rsidRPr="0056163D">
        <w:rPr>
          <w:color w:val="212121"/>
          <w:sz w:val="20"/>
          <w:szCs w:val="20"/>
          <w:shd w:val="clear" w:color="auto" w:fill="FFFFFF"/>
        </w:rPr>
        <w:t xml:space="preserve">Common physical exam findings include visible tophaceous deposits, ulceration, joint contractures, dermatitis, and carpal tunnel syndrome among other compression neuropathies. Imaging such as MRI can be valuable in determining the extent of disease. </w:t>
      </w:r>
    </w:p>
    <w:p w14:paraId="2C7D8411" w14:textId="73E0F19A" w:rsidR="00393731" w:rsidRPr="0056163D" w:rsidRDefault="007C7A54" w:rsidP="00D121B0">
      <w:pPr>
        <w:contextualSpacing/>
        <w:mirrorIndents/>
        <w:jc w:val="both"/>
        <w:rPr>
          <w:color w:val="212121"/>
          <w:sz w:val="20"/>
          <w:szCs w:val="20"/>
          <w:shd w:val="clear" w:color="auto" w:fill="FFFFFF"/>
        </w:rPr>
      </w:pPr>
      <w:r>
        <w:rPr>
          <w:color w:val="212121"/>
          <w:sz w:val="20"/>
          <w:szCs w:val="20"/>
          <w:shd w:val="clear" w:color="auto" w:fill="FFFFFF"/>
        </w:rPr>
        <w:t xml:space="preserve"> </w:t>
      </w:r>
      <w:r w:rsidR="00393731" w:rsidRPr="0056163D">
        <w:rPr>
          <w:color w:val="212121"/>
          <w:sz w:val="20"/>
          <w:szCs w:val="20"/>
          <w:shd w:val="clear" w:color="auto" w:fill="FFFFFF"/>
        </w:rPr>
        <w:tab/>
      </w:r>
    </w:p>
    <w:p w14:paraId="4E655624" w14:textId="3D77CB7D" w:rsidR="00EA3FD1" w:rsidRDefault="00393731" w:rsidP="00D121B0">
      <w:pPr>
        <w:contextualSpacing/>
        <w:mirrorIndents/>
        <w:jc w:val="both"/>
        <w:rPr>
          <w:color w:val="212121"/>
          <w:sz w:val="20"/>
          <w:szCs w:val="20"/>
          <w:shd w:val="clear" w:color="auto" w:fill="FFFFFF"/>
        </w:rPr>
      </w:pPr>
      <w:r w:rsidRPr="0056163D">
        <w:rPr>
          <w:color w:val="212121"/>
          <w:sz w:val="20"/>
          <w:szCs w:val="20"/>
          <w:shd w:val="clear" w:color="auto" w:fill="FFFFFF"/>
        </w:rPr>
        <w:t>Medical management is the first line of treatment for gout. Options can be grouped into three categories: urate-lowering therapy, gout flare prophylaxis, and anti-inflammatory therapy. The first (e.g. allopurinol, probenecid) is the mainstay of treatment as it addresses the primary pathophysiologic cause of gout, hyperuricemia. Colchicine and non-steroidal anti-inflammatory medications are used for gout flare prophylaxis to decrease inflammation and to improve pain</w:t>
      </w:r>
      <w:r w:rsidR="00ED35CA">
        <w:rPr>
          <w:color w:val="212121"/>
          <w:sz w:val="20"/>
          <w:szCs w:val="20"/>
          <w:shd w:val="clear" w:color="auto" w:fill="FFFFFF"/>
        </w:rPr>
        <w:t xml:space="preserve"> </w:t>
      </w:r>
      <w:r w:rsidR="00ED35CA" w:rsidRPr="00766073">
        <w:rPr>
          <w:color w:val="FF0000"/>
          <w:sz w:val="20"/>
          <w:szCs w:val="20"/>
        </w:rPr>
        <w:t>[</w:t>
      </w:r>
      <w:r w:rsidR="00ED35CA">
        <w:rPr>
          <w:color w:val="FF0000"/>
          <w:sz w:val="20"/>
          <w:szCs w:val="20"/>
        </w:rPr>
        <w:t>5</w:t>
      </w:r>
      <w:proofErr w:type="gramStart"/>
      <w:r w:rsidR="00ED35CA">
        <w:rPr>
          <w:color w:val="FF0000"/>
          <w:sz w:val="20"/>
          <w:szCs w:val="20"/>
        </w:rPr>
        <w:t>,6</w:t>
      </w:r>
      <w:proofErr w:type="gramEnd"/>
      <w:r w:rsidR="00ED35CA" w:rsidRPr="00766073">
        <w:rPr>
          <w:color w:val="FF0000"/>
          <w:sz w:val="20"/>
          <w:szCs w:val="20"/>
        </w:rPr>
        <w:t>]</w:t>
      </w:r>
      <w:r w:rsidRPr="0056163D">
        <w:rPr>
          <w:color w:val="212121"/>
          <w:sz w:val="20"/>
          <w:szCs w:val="20"/>
          <w:shd w:val="clear" w:color="auto" w:fill="FFFFFF"/>
        </w:rPr>
        <w:t>.</w:t>
      </w:r>
      <w:r w:rsidR="00ED35CA">
        <w:rPr>
          <w:color w:val="212121"/>
          <w:sz w:val="20"/>
          <w:szCs w:val="20"/>
          <w:shd w:val="clear" w:color="auto" w:fill="FFFFFF"/>
        </w:rPr>
        <w:t xml:space="preserve"> </w:t>
      </w:r>
      <w:r w:rsidRPr="0056163D">
        <w:rPr>
          <w:color w:val="212121"/>
          <w:sz w:val="20"/>
          <w:szCs w:val="20"/>
          <w:shd w:val="clear" w:color="auto" w:fill="FFFFFF"/>
        </w:rPr>
        <w:t>However, data shows that medications can be ineffective in 5% of cases</w:t>
      </w:r>
      <w:r w:rsidR="00D57C1C">
        <w:rPr>
          <w:color w:val="212121"/>
          <w:sz w:val="20"/>
          <w:szCs w:val="20"/>
          <w:shd w:val="clear" w:color="auto" w:fill="FFFFFF"/>
        </w:rPr>
        <w:t xml:space="preserve"> </w:t>
      </w:r>
      <w:r w:rsidR="00D57C1C" w:rsidRPr="00766073">
        <w:rPr>
          <w:color w:val="FF0000"/>
          <w:sz w:val="20"/>
          <w:szCs w:val="20"/>
        </w:rPr>
        <w:t>[</w:t>
      </w:r>
      <w:r w:rsidR="00D57C1C">
        <w:rPr>
          <w:color w:val="FF0000"/>
          <w:sz w:val="20"/>
          <w:szCs w:val="20"/>
        </w:rPr>
        <w:t>7</w:t>
      </w:r>
      <w:r w:rsidR="00D57C1C" w:rsidRPr="00766073">
        <w:rPr>
          <w:color w:val="FF0000"/>
          <w:sz w:val="20"/>
          <w:szCs w:val="20"/>
        </w:rPr>
        <w:t>]</w:t>
      </w:r>
      <w:r w:rsidRPr="0056163D">
        <w:rPr>
          <w:color w:val="212121"/>
          <w:sz w:val="20"/>
          <w:szCs w:val="20"/>
          <w:shd w:val="clear" w:color="auto" w:fill="FFFFFF"/>
        </w:rPr>
        <w:t>.</w:t>
      </w:r>
      <w:r w:rsidR="00D57C1C">
        <w:rPr>
          <w:color w:val="212121"/>
          <w:sz w:val="20"/>
          <w:szCs w:val="20"/>
          <w:shd w:val="clear" w:color="auto" w:fill="FFFFFF"/>
        </w:rPr>
        <w:t xml:space="preserve"> </w:t>
      </w:r>
      <w:r w:rsidRPr="0056163D">
        <w:rPr>
          <w:color w:val="212121"/>
          <w:sz w:val="20"/>
          <w:szCs w:val="20"/>
          <w:shd w:val="clear" w:color="auto" w:fill="FFFFFF"/>
        </w:rPr>
        <w:t>Furthermore, delays in medication administration, dose adjustment, non-compliance, and time to effect can lead to disease progression. For example, tendon involvement can progress to tenosynovitis, and subsequently limit range of motion. Advanced disease can even lead to joint contracture and tendon rupture</w:t>
      </w:r>
      <w:r w:rsidR="003C5B09">
        <w:rPr>
          <w:color w:val="212121"/>
          <w:sz w:val="20"/>
          <w:szCs w:val="20"/>
          <w:shd w:val="clear" w:color="auto" w:fill="FFFFFF"/>
        </w:rPr>
        <w:t xml:space="preserve"> </w:t>
      </w:r>
      <w:r w:rsidR="003C5B09" w:rsidRPr="00766073">
        <w:rPr>
          <w:color w:val="FF0000"/>
          <w:sz w:val="20"/>
          <w:szCs w:val="20"/>
        </w:rPr>
        <w:t>[</w:t>
      </w:r>
      <w:r w:rsidR="003C5B09">
        <w:rPr>
          <w:color w:val="FF0000"/>
          <w:sz w:val="20"/>
          <w:szCs w:val="20"/>
        </w:rPr>
        <w:t>7</w:t>
      </w:r>
      <w:r w:rsidR="003C5B09" w:rsidRPr="00766073">
        <w:rPr>
          <w:color w:val="FF0000"/>
          <w:sz w:val="20"/>
          <w:szCs w:val="20"/>
        </w:rPr>
        <w:t>]</w:t>
      </w:r>
      <w:r w:rsidRPr="0056163D">
        <w:rPr>
          <w:color w:val="212121"/>
          <w:sz w:val="20"/>
          <w:szCs w:val="20"/>
          <w:shd w:val="clear" w:color="auto" w:fill="FFFFFF"/>
        </w:rPr>
        <w:t>.</w:t>
      </w:r>
    </w:p>
    <w:p w14:paraId="37C65274" w14:textId="77777777" w:rsidR="003C5B09" w:rsidRPr="0056163D" w:rsidRDefault="003C5B09" w:rsidP="00D121B0">
      <w:pPr>
        <w:contextualSpacing/>
        <w:mirrorIndents/>
        <w:jc w:val="both"/>
        <w:rPr>
          <w:color w:val="212121"/>
          <w:sz w:val="20"/>
          <w:szCs w:val="20"/>
          <w:shd w:val="clear" w:color="auto" w:fill="FFFFFF"/>
        </w:rPr>
      </w:pPr>
    </w:p>
    <w:p w14:paraId="20A6841D" w14:textId="29A85DA8" w:rsidR="00EA3FD1" w:rsidRPr="0056163D" w:rsidRDefault="00393731" w:rsidP="00D121B0">
      <w:pPr>
        <w:contextualSpacing/>
        <w:mirrorIndents/>
        <w:jc w:val="both"/>
        <w:rPr>
          <w:color w:val="212121"/>
          <w:sz w:val="20"/>
          <w:szCs w:val="20"/>
          <w:shd w:val="clear" w:color="auto" w:fill="FFFFFF"/>
        </w:rPr>
      </w:pPr>
      <w:r w:rsidRPr="0056163D">
        <w:rPr>
          <w:color w:val="212121"/>
          <w:sz w:val="20"/>
          <w:szCs w:val="20"/>
          <w:shd w:val="clear" w:color="auto" w:fill="FFFFFF"/>
        </w:rPr>
        <w:t xml:space="preserve">Indications for surgical management for upper extremity gout include: 1) treatment of infection, 2) alleviation of pain, 3) range of motion improvement, 4) nerve decompression, and 5) improvement of aesthetic deformity. Two of the patients discussed underwent elective intervention primarily for improvement of range of motion, while the third patient underwent surgical intervention to address infection as well as pain. </w:t>
      </w:r>
      <w:proofErr w:type="spellStart"/>
      <w:r w:rsidRPr="0056163D">
        <w:rPr>
          <w:color w:val="212121"/>
          <w:sz w:val="20"/>
          <w:szCs w:val="20"/>
          <w:shd w:val="clear" w:color="auto" w:fill="FFFFFF"/>
        </w:rPr>
        <w:t>Peri</w:t>
      </w:r>
      <w:proofErr w:type="spellEnd"/>
      <w:r w:rsidRPr="0056163D">
        <w:rPr>
          <w:color w:val="212121"/>
          <w:sz w:val="20"/>
          <w:szCs w:val="20"/>
          <w:shd w:val="clear" w:color="auto" w:fill="FFFFFF"/>
        </w:rPr>
        <w:t>-operative management should include prophylactic colchicine and anti-inflammatory therapy as surgery itself may induce an acute gouty attack</w:t>
      </w:r>
      <w:r w:rsidR="00A93276">
        <w:rPr>
          <w:color w:val="212121"/>
          <w:sz w:val="20"/>
          <w:szCs w:val="20"/>
          <w:shd w:val="clear" w:color="auto" w:fill="FFFFFF"/>
        </w:rPr>
        <w:t xml:space="preserve"> </w:t>
      </w:r>
      <w:r w:rsidR="00A93276" w:rsidRPr="00766073">
        <w:rPr>
          <w:color w:val="FF0000"/>
          <w:sz w:val="20"/>
          <w:szCs w:val="20"/>
        </w:rPr>
        <w:t>[</w:t>
      </w:r>
      <w:r w:rsidR="00A93276">
        <w:rPr>
          <w:color w:val="FF0000"/>
          <w:sz w:val="20"/>
          <w:szCs w:val="20"/>
        </w:rPr>
        <w:t>4</w:t>
      </w:r>
      <w:proofErr w:type="gramStart"/>
      <w:r w:rsidR="00A93276">
        <w:rPr>
          <w:color w:val="FF0000"/>
          <w:sz w:val="20"/>
          <w:szCs w:val="20"/>
        </w:rPr>
        <w:t>,6,8</w:t>
      </w:r>
      <w:proofErr w:type="gramEnd"/>
      <w:r w:rsidR="00A93276" w:rsidRPr="00766073">
        <w:rPr>
          <w:color w:val="FF0000"/>
          <w:sz w:val="20"/>
          <w:szCs w:val="20"/>
        </w:rPr>
        <w:t>]</w:t>
      </w:r>
      <w:r w:rsidRPr="0056163D">
        <w:rPr>
          <w:color w:val="212121"/>
          <w:sz w:val="20"/>
          <w:szCs w:val="20"/>
          <w:shd w:val="clear" w:color="auto" w:fill="FFFFFF"/>
        </w:rPr>
        <w:t>.</w:t>
      </w:r>
      <w:r w:rsidR="00A93276">
        <w:rPr>
          <w:color w:val="212121"/>
          <w:sz w:val="20"/>
          <w:szCs w:val="20"/>
          <w:shd w:val="clear" w:color="auto" w:fill="FFFFFF"/>
        </w:rPr>
        <w:t xml:space="preserve"> </w:t>
      </w:r>
      <w:r w:rsidRPr="0056163D">
        <w:rPr>
          <w:color w:val="212121"/>
          <w:sz w:val="20"/>
          <w:szCs w:val="20"/>
          <w:shd w:val="clear" w:color="auto" w:fill="FFFFFF"/>
        </w:rPr>
        <w:t>Intra-operatively, we recommend biopsy of tophaceous material, if there is any doubt of the diagnosis or concern for infection. Tissue biopsies should be sent in formalin to diagnose an infectious etiology and in ethanol to rule out gout; ethanol prevents degradation of the monosodium urate crystals</w:t>
      </w:r>
      <w:r w:rsidR="007A57A0">
        <w:rPr>
          <w:color w:val="212121"/>
          <w:sz w:val="20"/>
          <w:szCs w:val="20"/>
          <w:shd w:val="clear" w:color="auto" w:fill="FFFFFF"/>
        </w:rPr>
        <w:t xml:space="preserve"> </w:t>
      </w:r>
      <w:r w:rsidR="007A57A0" w:rsidRPr="00766073">
        <w:rPr>
          <w:color w:val="FF0000"/>
          <w:sz w:val="20"/>
          <w:szCs w:val="20"/>
        </w:rPr>
        <w:t>[</w:t>
      </w:r>
      <w:r w:rsidR="007A57A0">
        <w:rPr>
          <w:color w:val="FF0000"/>
          <w:sz w:val="20"/>
          <w:szCs w:val="20"/>
        </w:rPr>
        <w:t>8</w:t>
      </w:r>
      <w:proofErr w:type="gramStart"/>
      <w:r w:rsidR="007A57A0">
        <w:rPr>
          <w:color w:val="FF0000"/>
          <w:sz w:val="20"/>
          <w:szCs w:val="20"/>
        </w:rPr>
        <w:t>,9</w:t>
      </w:r>
      <w:proofErr w:type="gramEnd"/>
      <w:r w:rsidR="007A57A0" w:rsidRPr="00766073">
        <w:rPr>
          <w:color w:val="FF0000"/>
          <w:sz w:val="20"/>
          <w:szCs w:val="20"/>
        </w:rPr>
        <w:t>]</w:t>
      </w:r>
      <w:r w:rsidRPr="0056163D">
        <w:rPr>
          <w:color w:val="212121"/>
          <w:sz w:val="20"/>
          <w:szCs w:val="20"/>
          <w:shd w:val="clear" w:color="auto" w:fill="FFFFFF"/>
        </w:rPr>
        <w:t>.</w:t>
      </w:r>
      <w:r w:rsidR="007A57A0">
        <w:rPr>
          <w:color w:val="212121"/>
          <w:sz w:val="20"/>
          <w:szCs w:val="20"/>
          <w:shd w:val="clear" w:color="auto" w:fill="FFFFFF"/>
        </w:rPr>
        <w:t xml:space="preserve"> </w:t>
      </w:r>
      <w:r w:rsidRPr="0056163D">
        <w:rPr>
          <w:sz w:val="20"/>
          <w:szCs w:val="20"/>
        </w:rPr>
        <w:t>The presence of needle-shaped, negatively birefringent crystals on microscopy is diagnostic for gout.</w:t>
      </w:r>
    </w:p>
    <w:p w14:paraId="2F2708A1" w14:textId="77777777" w:rsidR="00EA3FD1" w:rsidRPr="0056163D" w:rsidRDefault="00EA3FD1" w:rsidP="00D121B0">
      <w:pPr>
        <w:contextualSpacing/>
        <w:mirrorIndents/>
        <w:jc w:val="both"/>
        <w:rPr>
          <w:color w:val="212121"/>
          <w:sz w:val="20"/>
          <w:szCs w:val="20"/>
          <w:shd w:val="clear" w:color="auto" w:fill="FFFFFF"/>
        </w:rPr>
      </w:pPr>
    </w:p>
    <w:p w14:paraId="0782D5E5" w14:textId="30288F70" w:rsidR="00EA3FD1" w:rsidRDefault="00393731" w:rsidP="00D121B0">
      <w:pPr>
        <w:contextualSpacing/>
        <w:mirrorIndents/>
        <w:jc w:val="both"/>
        <w:rPr>
          <w:color w:val="212121"/>
          <w:sz w:val="20"/>
          <w:szCs w:val="20"/>
          <w:shd w:val="clear" w:color="auto" w:fill="FFFFFF"/>
        </w:rPr>
      </w:pPr>
      <w:r w:rsidRPr="0056163D">
        <w:rPr>
          <w:color w:val="212121"/>
          <w:sz w:val="20"/>
          <w:szCs w:val="20"/>
          <w:shd w:val="clear" w:color="auto" w:fill="FFFFFF"/>
        </w:rPr>
        <w:t>With regards to surgical approach, we recommend a Brunner incision for access to affected flexor tendons and a midline longitudinal dorsal incision for extensor tendon involvement. This allows for wide access. Debridement of subcutaneous tophaceous deposits should then be performed. The tophus consistency and degree of joint involvement can guide this surgical approach as previously described by Kasper, et al.</w:t>
      </w:r>
      <w:r w:rsidR="00814DBC">
        <w:rPr>
          <w:color w:val="212121"/>
          <w:sz w:val="20"/>
          <w:szCs w:val="20"/>
          <w:shd w:val="clear" w:color="auto" w:fill="FFFFFF"/>
        </w:rPr>
        <w:t xml:space="preserve"> </w:t>
      </w:r>
      <w:r w:rsidR="00814DBC" w:rsidRPr="00766073">
        <w:rPr>
          <w:color w:val="FF0000"/>
          <w:sz w:val="20"/>
          <w:szCs w:val="20"/>
        </w:rPr>
        <w:t>[</w:t>
      </w:r>
      <w:r w:rsidR="00814DBC">
        <w:rPr>
          <w:color w:val="FF0000"/>
          <w:sz w:val="20"/>
          <w:szCs w:val="20"/>
        </w:rPr>
        <w:t>6</w:t>
      </w:r>
      <w:r w:rsidR="00814DBC" w:rsidRPr="00766073">
        <w:rPr>
          <w:color w:val="FF0000"/>
          <w:sz w:val="20"/>
          <w:szCs w:val="20"/>
        </w:rPr>
        <w:t>]</w:t>
      </w:r>
      <w:r w:rsidRPr="0056163D">
        <w:rPr>
          <w:color w:val="212121"/>
          <w:sz w:val="20"/>
          <w:szCs w:val="20"/>
          <w:shd w:val="clear" w:color="auto" w:fill="FFFFFF"/>
        </w:rPr>
        <w:t xml:space="preserve"> Tendons should be circumferentially freed from the firm, crystalline deposits that envelope them. As the urate crystals infiltrate the tendon substance, some deposits will need to be left to maintain the integrity of the tendon. If the pulley system is intact, an effort should be made to maintain A2 and A4. However, in cases with significant tendon involvement, the pulleys are often degraded from gouty disease and can be debrided without concern for bowstringing.</w:t>
      </w:r>
      <w:r w:rsidR="007C7A54">
        <w:rPr>
          <w:color w:val="212121"/>
          <w:sz w:val="20"/>
          <w:szCs w:val="20"/>
          <w:shd w:val="clear" w:color="auto" w:fill="FFFFFF"/>
        </w:rPr>
        <w:t xml:space="preserve"> </w:t>
      </w:r>
      <w:r w:rsidRPr="0056163D">
        <w:rPr>
          <w:color w:val="212121"/>
          <w:sz w:val="20"/>
          <w:szCs w:val="20"/>
          <w:shd w:val="clear" w:color="auto" w:fill="FFFFFF"/>
        </w:rPr>
        <w:t xml:space="preserve">We suggest the following algorithm for treatment of involved tendons </w:t>
      </w:r>
      <w:r w:rsidRPr="00555016">
        <w:rPr>
          <w:color w:val="FF0000"/>
          <w:sz w:val="20"/>
          <w:szCs w:val="20"/>
          <w:shd w:val="clear" w:color="auto" w:fill="FFFFFF"/>
        </w:rPr>
        <w:t>(Figure 5)</w:t>
      </w:r>
      <w:r w:rsidRPr="0056163D">
        <w:rPr>
          <w:color w:val="212121"/>
          <w:sz w:val="20"/>
          <w:szCs w:val="20"/>
          <w:shd w:val="clear" w:color="auto" w:fill="FFFFFF"/>
        </w:rPr>
        <w:t>.</w:t>
      </w:r>
      <w:r w:rsidR="007C7A54">
        <w:rPr>
          <w:color w:val="212121"/>
          <w:sz w:val="20"/>
          <w:szCs w:val="20"/>
          <w:shd w:val="clear" w:color="auto" w:fill="FFFFFF"/>
        </w:rPr>
        <w:t xml:space="preserve"> </w:t>
      </w:r>
      <w:r w:rsidRPr="0056163D">
        <w:rPr>
          <w:color w:val="212121"/>
          <w:sz w:val="20"/>
          <w:szCs w:val="20"/>
          <w:shd w:val="clear" w:color="auto" w:fill="FFFFFF"/>
        </w:rPr>
        <w:t>First, assess the degree of gout involving the tendon. If less than or equal to 50% of the tendon is ruptured, primary repair can be performed. If greater than 50% of the tendon is ruptured or the tendon is completely immobile after dissection, it should be excised. Next, determine if a tendon transfer or reconstruction is needed. If there is a nearby intact tendon that performs the same function as the excised tendon (e.g. intact FDP in setting of excised FDS), then no further reconstruction is necessary.</w:t>
      </w:r>
      <w:r w:rsidR="007C7A54">
        <w:rPr>
          <w:color w:val="212121"/>
          <w:sz w:val="20"/>
          <w:szCs w:val="20"/>
          <w:shd w:val="clear" w:color="auto" w:fill="FFFFFF"/>
        </w:rPr>
        <w:t xml:space="preserve"> </w:t>
      </w:r>
      <w:r w:rsidRPr="0056163D">
        <w:rPr>
          <w:color w:val="212121"/>
          <w:sz w:val="20"/>
          <w:szCs w:val="20"/>
          <w:shd w:val="clear" w:color="auto" w:fill="FFFFFF"/>
        </w:rPr>
        <w:t>If no other tendon performing the same function is available, then perform a tendon transfer or reconstruct the excised tendon using an expendable tendon such as the palmaris longus.</w:t>
      </w:r>
      <w:r w:rsidR="007C7A54">
        <w:rPr>
          <w:color w:val="212121"/>
          <w:sz w:val="20"/>
          <w:szCs w:val="20"/>
          <w:shd w:val="clear" w:color="auto" w:fill="FFFFFF"/>
        </w:rPr>
        <w:t xml:space="preserve"> </w:t>
      </w:r>
      <w:r w:rsidRPr="0056163D">
        <w:rPr>
          <w:color w:val="212121"/>
          <w:sz w:val="20"/>
          <w:szCs w:val="20"/>
          <w:shd w:val="clear" w:color="auto" w:fill="FFFFFF"/>
        </w:rPr>
        <w:t>Importantly, if the patient demonstrates symptoms of carpal tunnel syndrome, a carpal tunnel release and debulking of tophaceous deposits compressing the med</w:t>
      </w:r>
      <w:r w:rsidR="00EA3FD1" w:rsidRPr="0056163D">
        <w:rPr>
          <w:color w:val="212121"/>
          <w:sz w:val="20"/>
          <w:szCs w:val="20"/>
          <w:shd w:val="clear" w:color="auto" w:fill="FFFFFF"/>
        </w:rPr>
        <w:t>ian nerve should be performed.</w:t>
      </w:r>
    </w:p>
    <w:p w14:paraId="2AA8BDF3" w14:textId="77777777" w:rsidR="0013084A" w:rsidRPr="0056163D" w:rsidRDefault="0013084A" w:rsidP="0013084A">
      <w:pPr>
        <w:contextualSpacing/>
        <w:mirrorIndents/>
        <w:jc w:val="center"/>
        <w:rPr>
          <w:sz w:val="20"/>
          <w:szCs w:val="20"/>
        </w:rPr>
      </w:pPr>
      <w:r w:rsidRPr="0056163D">
        <w:rPr>
          <w:noProof/>
          <w:sz w:val="20"/>
          <w:szCs w:val="20"/>
        </w:rPr>
        <w:lastRenderedPageBreak/>
        <w:drawing>
          <wp:inline distT="0" distB="0" distL="0" distR="0" wp14:anchorId="1143A0B2" wp14:editId="4FBBDC32">
            <wp:extent cx="3110950" cy="1511348"/>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12389"/>
                    <a:stretch/>
                  </pic:blipFill>
                  <pic:spPr bwMode="auto">
                    <a:xfrm>
                      <a:off x="0" y="0"/>
                      <a:ext cx="3149847" cy="1530245"/>
                    </a:xfrm>
                    <a:prstGeom prst="rect">
                      <a:avLst/>
                    </a:prstGeom>
                    <a:noFill/>
                    <a:ln>
                      <a:noFill/>
                    </a:ln>
                    <a:extLst>
                      <a:ext uri="{53640926-AAD7-44D8-BBD7-CCE9431645EC}">
                        <a14:shadowObscured xmlns:a14="http://schemas.microsoft.com/office/drawing/2010/main"/>
                      </a:ext>
                    </a:extLst>
                  </pic:spPr>
                </pic:pic>
              </a:graphicData>
            </a:graphic>
          </wp:inline>
        </w:drawing>
      </w:r>
    </w:p>
    <w:p w14:paraId="268BCE19" w14:textId="77777777" w:rsidR="0013084A" w:rsidRPr="0056163D" w:rsidRDefault="0013084A" w:rsidP="0013084A">
      <w:pPr>
        <w:contextualSpacing/>
        <w:mirrorIndents/>
        <w:jc w:val="both"/>
        <w:rPr>
          <w:sz w:val="20"/>
          <w:szCs w:val="20"/>
        </w:rPr>
      </w:pPr>
    </w:p>
    <w:p w14:paraId="5C6E5F1C" w14:textId="77777777" w:rsidR="0013084A" w:rsidRDefault="0013084A" w:rsidP="0013084A">
      <w:pPr>
        <w:contextualSpacing/>
        <w:mirrorIndents/>
        <w:jc w:val="center"/>
        <w:rPr>
          <w:color w:val="212121"/>
          <w:sz w:val="20"/>
          <w:szCs w:val="20"/>
          <w:shd w:val="clear" w:color="auto" w:fill="FFFFFF"/>
        </w:rPr>
      </w:pPr>
      <w:r w:rsidRPr="00BB4C05">
        <w:rPr>
          <w:b/>
          <w:sz w:val="20"/>
          <w:szCs w:val="20"/>
        </w:rPr>
        <w:t>Figure 5:</w:t>
      </w:r>
      <w:r>
        <w:rPr>
          <w:sz w:val="20"/>
          <w:szCs w:val="20"/>
        </w:rPr>
        <w:t xml:space="preserve"> </w:t>
      </w:r>
      <w:r w:rsidRPr="0056163D">
        <w:rPr>
          <w:color w:val="212121"/>
          <w:sz w:val="20"/>
          <w:szCs w:val="20"/>
          <w:shd w:val="clear" w:color="auto" w:fill="FFFFFF"/>
        </w:rPr>
        <w:t>Treatment algorithm for the management of gouty tendonitis of the hand.</w:t>
      </w:r>
    </w:p>
    <w:p w14:paraId="415457A8" w14:textId="77777777" w:rsidR="00EA3FD1" w:rsidRPr="0056163D" w:rsidRDefault="00EA3FD1" w:rsidP="00D121B0">
      <w:pPr>
        <w:contextualSpacing/>
        <w:mirrorIndents/>
        <w:jc w:val="both"/>
        <w:rPr>
          <w:color w:val="212121"/>
          <w:sz w:val="20"/>
          <w:szCs w:val="20"/>
          <w:shd w:val="clear" w:color="auto" w:fill="FFFFFF"/>
        </w:rPr>
      </w:pPr>
    </w:p>
    <w:p w14:paraId="456DF8AE" w14:textId="77777777" w:rsidR="00003F8B" w:rsidRDefault="00393731" w:rsidP="00D121B0">
      <w:pPr>
        <w:contextualSpacing/>
        <w:mirrorIndents/>
        <w:jc w:val="both"/>
        <w:rPr>
          <w:color w:val="212121"/>
          <w:sz w:val="20"/>
          <w:szCs w:val="20"/>
          <w:shd w:val="clear" w:color="auto" w:fill="FFFFFF"/>
        </w:rPr>
      </w:pPr>
      <w:r w:rsidRPr="0056163D">
        <w:rPr>
          <w:color w:val="212121"/>
          <w:sz w:val="20"/>
          <w:szCs w:val="20"/>
          <w:shd w:val="clear" w:color="auto" w:fill="FFFFFF"/>
        </w:rPr>
        <w:t>There are limitations to this study. This is a small case series. Since this is a rare diagnosis, only three patients were included. Furthermore, analysis was perfo</w:t>
      </w:r>
      <w:r w:rsidR="00003F8B">
        <w:rPr>
          <w:color w:val="212121"/>
          <w:sz w:val="20"/>
          <w:szCs w:val="20"/>
          <w:shd w:val="clear" w:color="auto" w:fill="FFFFFF"/>
        </w:rPr>
        <w:t>rmed in a retrospective manner.</w:t>
      </w:r>
    </w:p>
    <w:p w14:paraId="5BB39AFA" w14:textId="21333B12" w:rsidR="00393731" w:rsidRPr="0056163D" w:rsidRDefault="00393731" w:rsidP="00D121B0">
      <w:pPr>
        <w:contextualSpacing/>
        <w:mirrorIndents/>
        <w:jc w:val="both"/>
        <w:rPr>
          <w:color w:val="212121"/>
          <w:sz w:val="20"/>
          <w:szCs w:val="20"/>
          <w:shd w:val="clear" w:color="auto" w:fill="FFFFFF"/>
        </w:rPr>
      </w:pPr>
      <w:r w:rsidRPr="0056163D">
        <w:rPr>
          <w:color w:val="212121"/>
          <w:sz w:val="20"/>
          <w:szCs w:val="20"/>
          <w:shd w:val="clear" w:color="auto" w:fill="FFFFFF"/>
        </w:rPr>
        <w:t xml:space="preserve"> </w:t>
      </w:r>
    </w:p>
    <w:p w14:paraId="144D4596" w14:textId="2849AF94" w:rsidR="00EA3FD1" w:rsidRDefault="00393731" w:rsidP="00D121B0">
      <w:pPr>
        <w:contextualSpacing/>
        <w:mirrorIndents/>
        <w:jc w:val="both"/>
        <w:rPr>
          <w:color w:val="212121"/>
          <w:sz w:val="20"/>
          <w:szCs w:val="20"/>
          <w:shd w:val="clear" w:color="auto" w:fill="FFFFFF"/>
        </w:rPr>
      </w:pPr>
      <w:r w:rsidRPr="0056163D">
        <w:rPr>
          <w:color w:val="212121"/>
          <w:sz w:val="20"/>
          <w:szCs w:val="20"/>
          <w:shd w:val="clear" w:color="auto" w:fill="FFFFFF"/>
        </w:rPr>
        <w:t>Despite the limitations, we aimed to provide an algorithmic approach to surgical treatment of gouty tendonitis. Existing literature and our clinical experience support the step-by-step approach to this disease based on the degree of</w:t>
      </w:r>
      <w:r w:rsidR="00BF1E82">
        <w:rPr>
          <w:color w:val="212121"/>
          <w:sz w:val="20"/>
          <w:szCs w:val="20"/>
          <w:shd w:val="clear" w:color="auto" w:fill="FFFFFF"/>
        </w:rPr>
        <w:t xml:space="preserve"> tendon involvement and injury.</w:t>
      </w:r>
    </w:p>
    <w:p w14:paraId="2DE19B21" w14:textId="43091D13" w:rsidR="00BF1E82" w:rsidRDefault="00BF1E82" w:rsidP="00D121B0">
      <w:pPr>
        <w:contextualSpacing/>
        <w:mirrorIndents/>
        <w:jc w:val="both"/>
        <w:rPr>
          <w:color w:val="212121"/>
          <w:sz w:val="20"/>
          <w:szCs w:val="20"/>
          <w:shd w:val="clear" w:color="auto" w:fill="FFFFFF"/>
        </w:rPr>
      </w:pPr>
    </w:p>
    <w:p w14:paraId="5DA491D1" w14:textId="77777777" w:rsidR="00BF1E82" w:rsidRPr="00BF1E82" w:rsidRDefault="00BF1E82" w:rsidP="00D121B0">
      <w:pPr>
        <w:contextualSpacing/>
        <w:mirrorIndents/>
        <w:jc w:val="both"/>
        <w:rPr>
          <w:b/>
          <w:color w:val="212121"/>
          <w:sz w:val="22"/>
          <w:szCs w:val="22"/>
          <w:shd w:val="clear" w:color="auto" w:fill="FFFFFF"/>
        </w:rPr>
      </w:pPr>
      <w:r w:rsidRPr="00BF1E82">
        <w:rPr>
          <w:b/>
          <w:color w:val="212121"/>
          <w:sz w:val="22"/>
          <w:szCs w:val="22"/>
          <w:shd w:val="clear" w:color="auto" w:fill="FFFFFF"/>
        </w:rPr>
        <w:t>Disclosures</w:t>
      </w:r>
    </w:p>
    <w:p w14:paraId="41A8F186" w14:textId="77777777" w:rsidR="00BF1E82" w:rsidRDefault="00BF1E82" w:rsidP="00D121B0">
      <w:pPr>
        <w:contextualSpacing/>
        <w:mirrorIndents/>
        <w:jc w:val="both"/>
        <w:rPr>
          <w:color w:val="212121"/>
          <w:sz w:val="20"/>
          <w:szCs w:val="20"/>
          <w:shd w:val="clear" w:color="auto" w:fill="FFFFFF"/>
        </w:rPr>
      </w:pPr>
    </w:p>
    <w:p w14:paraId="73733A05" w14:textId="0D7AF8D6" w:rsidR="00393731" w:rsidRDefault="00BF1E82" w:rsidP="00D121B0">
      <w:pPr>
        <w:contextualSpacing/>
        <w:mirrorIndents/>
        <w:jc w:val="both"/>
        <w:rPr>
          <w:color w:val="212121"/>
          <w:sz w:val="20"/>
          <w:szCs w:val="20"/>
          <w:shd w:val="clear" w:color="auto" w:fill="FFFFFF"/>
        </w:rPr>
      </w:pPr>
      <w:r w:rsidRPr="00BF1E82">
        <w:rPr>
          <w:color w:val="212121"/>
          <w:sz w:val="20"/>
          <w:szCs w:val="20"/>
          <w:shd w:val="clear" w:color="auto" w:fill="FFFFFF"/>
        </w:rPr>
        <w:t>The authors have no relevant disclosures</w:t>
      </w:r>
      <w:r>
        <w:rPr>
          <w:color w:val="212121"/>
          <w:sz w:val="20"/>
          <w:szCs w:val="20"/>
          <w:shd w:val="clear" w:color="auto" w:fill="FFFFFF"/>
        </w:rPr>
        <w:t>.</w:t>
      </w:r>
    </w:p>
    <w:p w14:paraId="68AB6E1F" w14:textId="77777777" w:rsidR="00BF1E82" w:rsidRPr="0056163D" w:rsidRDefault="00BF1E82" w:rsidP="00D121B0">
      <w:pPr>
        <w:contextualSpacing/>
        <w:mirrorIndents/>
        <w:jc w:val="both"/>
        <w:rPr>
          <w:color w:val="212121"/>
          <w:sz w:val="20"/>
          <w:szCs w:val="20"/>
          <w:shd w:val="clear" w:color="auto" w:fill="FFFFFF"/>
        </w:rPr>
      </w:pPr>
    </w:p>
    <w:p w14:paraId="2685CA4E" w14:textId="787A3CE9" w:rsidR="00393731" w:rsidRPr="00003F8B" w:rsidRDefault="00393731" w:rsidP="000041EE">
      <w:pPr>
        <w:contextualSpacing/>
        <w:mirrorIndents/>
        <w:jc w:val="center"/>
        <w:rPr>
          <w:b/>
          <w:sz w:val="22"/>
          <w:szCs w:val="22"/>
        </w:rPr>
      </w:pPr>
      <w:r w:rsidRPr="00003F8B">
        <w:rPr>
          <w:b/>
          <w:sz w:val="22"/>
          <w:szCs w:val="22"/>
        </w:rPr>
        <w:t>References</w:t>
      </w:r>
    </w:p>
    <w:p w14:paraId="75AEC8CE" w14:textId="77777777" w:rsidR="00EA3FD1" w:rsidRPr="0056163D" w:rsidRDefault="00EA3FD1" w:rsidP="00D121B0">
      <w:pPr>
        <w:contextualSpacing/>
        <w:mirrorIndents/>
        <w:jc w:val="both"/>
        <w:rPr>
          <w:sz w:val="20"/>
          <w:szCs w:val="20"/>
        </w:rPr>
      </w:pPr>
    </w:p>
    <w:p w14:paraId="4D5A8910" w14:textId="78B56D3F" w:rsidR="00393731" w:rsidRPr="00850B3F" w:rsidRDefault="00326D1C" w:rsidP="00850B3F">
      <w:pPr>
        <w:pStyle w:val="ListParagraph"/>
        <w:numPr>
          <w:ilvl w:val="0"/>
          <w:numId w:val="8"/>
        </w:numPr>
        <w:spacing w:after="0" w:line="240" w:lineRule="auto"/>
        <w:mirrorIndents/>
        <w:jc w:val="both"/>
        <w:rPr>
          <w:rFonts w:ascii="Times New Roman" w:hAnsi="Times New Roman" w:cs="Times New Roman"/>
          <w:sz w:val="20"/>
          <w:szCs w:val="20"/>
        </w:rPr>
      </w:pPr>
      <w:hyperlink r:id="rId14" w:history="1">
        <w:r w:rsidR="00003F8B" w:rsidRPr="00850B3F">
          <w:rPr>
            <w:rStyle w:val="Hyperlink"/>
            <w:rFonts w:ascii="Times New Roman" w:hAnsi="Times New Roman" w:cs="Times New Roman"/>
            <w:sz w:val="20"/>
            <w:szCs w:val="20"/>
            <w:u w:val="none"/>
          </w:rPr>
          <w:t xml:space="preserve">Meyer </w:t>
        </w:r>
        <w:proofErr w:type="spellStart"/>
        <w:r w:rsidR="00003F8B" w:rsidRPr="00850B3F">
          <w:rPr>
            <w:rStyle w:val="Hyperlink"/>
            <w:rFonts w:ascii="Times New Roman" w:hAnsi="Times New Roman" w:cs="Times New Roman"/>
            <w:sz w:val="20"/>
            <w:szCs w:val="20"/>
            <w:u w:val="none"/>
          </w:rPr>
          <w:t>zu</w:t>
        </w:r>
        <w:proofErr w:type="spellEnd"/>
        <w:r w:rsidR="00003F8B" w:rsidRPr="00850B3F">
          <w:rPr>
            <w:rStyle w:val="Hyperlink"/>
            <w:rFonts w:ascii="Times New Roman" w:hAnsi="Times New Roman" w:cs="Times New Roman"/>
            <w:sz w:val="20"/>
            <w:szCs w:val="20"/>
            <w:u w:val="none"/>
          </w:rPr>
          <w:t xml:space="preserve"> </w:t>
        </w:r>
        <w:proofErr w:type="spellStart"/>
        <w:r w:rsidR="00003F8B" w:rsidRPr="00850B3F">
          <w:rPr>
            <w:rStyle w:val="Hyperlink"/>
            <w:rFonts w:ascii="Times New Roman" w:hAnsi="Times New Roman" w:cs="Times New Roman"/>
            <w:sz w:val="20"/>
            <w:szCs w:val="20"/>
            <w:u w:val="none"/>
          </w:rPr>
          <w:t>Reckendorf</w:t>
        </w:r>
        <w:proofErr w:type="spellEnd"/>
        <w:r w:rsidR="00003F8B" w:rsidRPr="00850B3F">
          <w:rPr>
            <w:rStyle w:val="Hyperlink"/>
            <w:rFonts w:ascii="Times New Roman" w:hAnsi="Times New Roman" w:cs="Times New Roman"/>
            <w:sz w:val="20"/>
            <w:szCs w:val="20"/>
            <w:u w:val="none"/>
          </w:rPr>
          <w:t xml:space="preserve"> G, </w:t>
        </w:r>
        <w:proofErr w:type="spellStart"/>
        <w:r w:rsidR="00003F8B" w:rsidRPr="00850B3F">
          <w:rPr>
            <w:rStyle w:val="Hyperlink"/>
            <w:rFonts w:ascii="Times New Roman" w:hAnsi="Times New Roman" w:cs="Times New Roman"/>
            <w:sz w:val="20"/>
            <w:szCs w:val="20"/>
            <w:u w:val="none"/>
          </w:rPr>
          <w:t>Dahmam</w:t>
        </w:r>
        <w:proofErr w:type="spellEnd"/>
        <w:r w:rsidR="00003F8B" w:rsidRPr="00850B3F">
          <w:rPr>
            <w:rStyle w:val="Hyperlink"/>
            <w:rFonts w:ascii="Times New Roman" w:hAnsi="Times New Roman" w:cs="Times New Roman"/>
            <w:sz w:val="20"/>
            <w:szCs w:val="20"/>
            <w:u w:val="none"/>
          </w:rPr>
          <w:t xml:space="preserve"> A (2018)</w:t>
        </w:r>
        <w:r w:rsidR="00393731" w:rsidRPr="00850B3F">
          <w:rPr>
            <w:rStyle w:val="Hyperlink"/>
            <w:rFonts w:ascii="Times New Roman" w:hAnsi="Times New Roman" w:cs="Times New Roman"/>
            <w:sz w:val="20"/>
            <w:szCs w:val="20"/>
            <w:u w:val="none"/>
          </w:rPr>
          <w:t xml:space="preserve"> Hand involve</w:t>
        </w:r>
        <w:r w:rsidR="00003F8B" w:rsidRPr="00850B3F">
          <w:rPr>
            <w:rStyle w:val="Hyperlink"/>
            <w:rFonts w:ascii="Times New Roman" w:hAnsi="Times New Roman" w:cs="Times New Roman"/>
            <w:sz w:val="20"/>
            <w:szCs w:val="20"/>
            <w:u w:val="none"/>
          </w:rPr>
          <w:t xml:space="preserve">ment in gout. Hand </w:t>
        </w:r>
        <w:proofErr w:type="spellStart"/>
        <w:r w:rsidR="00003F8B" w:rsidRPr="00850B3F">
          <w:rPr>
            <w:rStyle w:val="Hyperlink"/>
            <w:rFonts w:ascii="Times New Roman" w:hAnsi="Times New Roman" w:cs="Times New Roman"/>
            <w:sz w:val="20"/>
            <w:szCs w:val="20"/>
            <w:u w:val="none"/>
          </w:rPr>
          <w:t>Surg</w:t>
        </w:r>
        <w:proofErr w:type="spellEnd"/>
        <w:r w:rsidR="00003F8B" w:rsidRPr="00850B3F">
          <w:rPr>
            <w:rStyle w:val="Hyperlink"/>
            <w:rFonts w:ascii="Times New Roman" w:hAnsi="Times New Roman" w:cs="Times New Roman"/>
            <w:sz w:val="20"/>
            <w:szCs w:val="20"/>
            <w:u w:val="none"/>
          </w:rPr>
          <w:t xml:space="preserve"> </w:t>
        </w:r>
        <w:proofErr w:type="spellStart"/>
        <w:r w:rsidR="00003F8B" w:rsidRPr="00850B3F">
          <w:rPr>
            <w:rStyle w:val="Hyperlink"/>
            <w:rFonts w:ascii="Times New Roman" w:hAnsi="Times New Roman" w:cs="Times New Roman"/>
            <w:sz w:val="20"/>
            <w:szCs w:val="20"/>
            <w:u w:val="none"/>
          </w:rPr>
          <w:t>Rehabil</w:t>
        </w:r>
        <w:proofErr w:type="spellEnd"/>
        <w:r w:rsidR="00003F8B" w:rsidRPr="00850B3F">
          <w:rPr>
            <w:rStyle w:val="Hyperlink"/>
            <w:rFonts w:ascii="Times New Roman" w:hAnsi="Times New Roman" w:cs="Times New Roman"/>
            <w:sz w:val="20"/>
            <w:szCs w:val="20"/>
            <w:u w:val="none"/>
          </w:rPr>
          <w:t xml:space="preserve"> 37:</w:t>
        </w:r>
        <w:r w:rsidR="00393731" w:rsidRPr="00850B3F">
          <w:rPr>
            <w:rStyle w:val="Hyperlink"/>
            <w:rFonts w:ascii="Times New Roman" w:hAnsi="Times New Roman" w:cs="Times New Roman"/>
            <w:sz w:val="20"/>
            <w:szCs w:val="20"/>
            <w:u w:val="none"/>
          </w:rPr>
          <w:t xml:space="preserve"> 197-201.</w:t>
        </w:r>
      </w:hyperlink>
    </w:p>
    <w:p w14:paraId="2548F8F7" w14:textId="598C0F9B" w:rsidR="00393731" w:rsidRPr="00850B3F" w:rsidRDefault="00326D1C" w:rsidP="00850B3F">
      <w:pPr>
        <w:pStyle w:val="ListParagraph"/>
        <w:numPr>
          <w:ilvl w:val="0"/>
          <w:numId w:val="8"/>
        </w:numPr>
        <w:spacing w:after="0" w:line="240" w:lineRule="auto"/>
        <w:mirrorIndents/>
        <w:jc w:val="both"/>
        <w:rPr>
          <w:rFonts w:ascii="Times New Roman" w:hAnsi="Times New Roman" w:cs="Times New Roman"/>
          <w:sz w:val="20"/>
          <w:szCs w:val="20"/>
        </w:rPr>
      </w:pPr>
      <w:hyperlink r:id="rId15" w:history="1">
        <w:r w:rsidR="00393731" w:rsidRPr="00850B3F">
          <w:rPr>
            <w:rStyle w:val="Hyperlink"/>
            <w:rFonts w:ascii="Times New Roman" w:hAnsi="Times New Roman" w:cs="Times New Roman"/>
            <w:sz w:val="20"/>
            <w:szCs w:val="20"/>
            <w:u w:val="none"/>
          </w:rPr>
          <w:t>Sakti M, Usman MA</w:t>
        </w:r>
        <w:r w:rsidR="00604502" w:rsidRPr="00850B3F">
          <w:rPr>
            <w:rStyle w:val="Hyperlink"/>
            <w:rFonts w:ascii="Times New Roman" w:hAnsi="Times New Roman" w:cs="Times New Roman"/>
            <w:sz w:val="20"/>
            <w:szCs w:val="20"/>
            <w:u w:val="none"/>
          </w:rPr>
          <w:t>, Lee J, Benjamin M, et al</w:t>
        </w:r>
        <w:r w:rsidR="00393731" w:rsidRPr="00850B3F">
          <w:rPr>
            <w:rStyle w:val="Hyperlink"/>
            <w:rFonts w:ascii="Times New Roman" w:hAnsi="Times New Roman" w:cs="Times New Roman"/>
            <w:sz w:val="20"/>
            <w:szCs w:val="20"/>
            <w:u w:val="none"/>
          </w:rPr>
          <w:t>.</w:t>
        </w:r>
        <w:r w:rsidR="00604502" w:rsidRPr="00850B3F">
          <w:rPr>
            <w:rStyle w:val="Hyperlink"/>
            <w:rFonts w:ascii="Times New Roman" w:hAnsi="Times New Roman" w:cs="Times New Roman"/>
            <w:sz w:val="20"/>
            <w:szCs w:val="20"/>
            <w:u w:val="none"/>
          </w:rPr>
          <w:t xml:space="preserve"> (2019)</w:t>
        </w:r>
        <w:r w:rsidR="00393731" w:rsidRPr="00850B3F">
          <w:rPr>
            <w:rStyle w:val="Hyperlink"/>
            <w:rFonts w:ascii="Times New Roman" w:hAnsi="Times New Roman" w:cs="Times New Roman"/>
            <w:sz w:val="20"/>
            <w:szCs w:val="20"/>
            <w:u w:val="none"/>
          </w:rPr>
          <w:t xml:space="preserve"> Atypical musculoskeletal manifestations of gout in hyperuricemia </w:t>
        </w:r>
        <w:r w:rsidR="00604502" w:rsidRPr="00850B3F">
          <w:rPr>
            <w:rStyle w:val="Hyperlink"/>
            <w:rFonts w:ascii="Times New Roman" w:hAnsi="Times New Roman" w:cs="Times New Roman"/>
            <w:sz w:val="20"/>
            <w:szCs w:val="20"/>
            <w:u w:val="none"/>
          </w:rPr>
          <w:t xml:space="preserve">patients. Open Access </w:t>
        </w:r>
        <w:proofErr w:type="spellStart"/>
        <w:r w:rsidR="00604502" w:rsidRPr="00850B3F">
          <w:rPr>
            <w:rStyle w:val="Hyperlink"/>
            <w:rFonts w:ascii="Times New Roman" w:hAnsi="Times New Roman" w:cs="Times New Roman"/>
            <w:sz w:val="20"/>
            <w:szCs w:val="20"/>
            <w:u w:val="none"/>
          </w:rPr>
          <w:t>Rheumatol</w:t>
        </w:r>
        <w:proofErr w:type="spellEnd"/>
        <w:r w:rsidR="00393731" w:rsidRPr="00850B3F">
          <w:rPr>
            <w:rStyle w:val="Hyperlink"/>
            <w:rFonts w:ascii="Times New Roman" w:hAnsi="Times New Roman" w:cs="Times New Roman"/>
            <w:sz w:val="20"/>
            <w:szCs w:val="20"/>
            <w:u w:val="none"/>
          </w:rPr>
          <w:t xml:space="preserve"> 11: 47-52.</w:t>
        </w:r>
      </w:hyperlink>
    </w:p>
    <w:p w14:paraId="7B83E083" w14:textId="0C422B83" w:rsidR="00393731" w:rsidRPr="00850B3F" w:rsidRDefault="00326D1C" w:rsidP="00850B3F">
      <w:pPr>
        <w:pStyle w:val="ListParagraph"/>
        <w:numPr>
          <w:ilvl w:val="0"/>
          <w:numId w:val="8"/>
        </w:numPr>
        <w:spacing w:after="0" w:line="240" w:lineRule="auto"/>
        <w:mirrorIndents/>
        <w:jc w:val="both"/>
        <w:rPr>
          <w:rFonts w:ascii="Times New Roman" w:hAnsi="Times New Roman" w:cs="Times New Roman"/>
          <w:sz w:val="20"/>
          <w:szCs w:val="20"/>
        </w:rPr>
      </w:pPr>
      <w:hyperlink r:id="rId16" w:history="1">
        <w:proofErr w:type="spellStart"/>
        <w:r w:rsidR="00D85609" w:rsidRPr="00850B3F">
          <w:rPr>
            <w:rStyle w:val="Hyperlink"/>
            <w:rFonts w:ascii="Times New Roman" w:hAnsi="Times New Roman" w:cs="Times New Roman"/>
            <w:sz w:val="20"/>
            <w:szCs w:val="20"/>
            <w:u w:val="none"/>
          </w:rPr>
          <w:t>Wurapa</w:t>
        </w:r>
        <w:proofErr w:type="spellEnd"/>
        <w:r w:rsidR="00D85609" w:rsidRPr="00850B3F">
          <w:rPr>
            <w:rStyle w:val="Hyperlink"/>
            <w:rFonts w:ascii="Times New Roman" w:hAnsi="Times New Roman" w:cs="Times New Roman"/>
            <w:sz w:val="20"/>
            <w:szCs w:val="20"/>
            <w:u w:val="none"/>
          </w:rPr>
          <w:t xml:space="preserve"> RK, </w:t>
        </w:r>
        <w:proofErr w:type="spellStart"/>
        <w:r w:rsidR="00D85609" w:rsidRPr="00850B3F">
          <w:rPr>
            <w:rStyle w:val="Hyperlink"/>
            <w:rFonts w:ascii="Times New Roman" w:hAnsi="Times New Roman" w:cs="Times New Roman"/>
            <w:sz w:val="20"/>
            <w:szCs w:val="20"/>
            <w:u w:val="none"/>
          </w:rPr>
          <w:t>Zelouf</w:t>
        </w:r>
        <w:proofErr w:type="spellEnd"/>
        <w:r w:rsidR="00D85609" w:rsidRPr="00850B3F">
          <w:rPr>
            <w:rStyle w:val="Hyperlink"/>
            <w:rFonts w:ascii="Times New Roman" w:hAnsi="Times New Roman" w:cs="Times New Roman"/>
            <w:sz w:val="20"/>
            <w:szCs w:val="20"/>
            <w:u w:val="none"/>
          </w:rPr>
          <w:t xml:space="preserve"> DS (2002)</w:t>
        </w:r>
        <w:r w:rsidR="00393731" w:rsidRPr="00850B3F">
          <w:rPr>
            <w:rStyle w:val="Hyperlink"/>
            <w:rFonts w:ascii="Times New Roman" w:hAnsi="Times New Roman" w:cs="Times New Roman"/>
            <w:sz w:val="20"/>
            <w:szCs w:val="20"/>
            <w:u w:val="none"/>
          </w:rPr>
          <w:t xml:space="preserve"> Flexor tendon rupture caused by gout</w:t>
        </w:r>
        <w:r w:rsidR="00D85609" w:rsidRPr="00850B3F">
          <w:rPr>
            <w:rStyle w:val="Hyperlink"/>
            <w:rFonts w:ascii="Times New Roman" w:hAnsi="Times New Roman" w:cs="Times New Roman"/>
            <w:sz w:val="20"/>
            <w:szCs w:val="20"/>
            <w:u w:val="none"/>
          </w:rPr>
          <w:t xml:space="preserve">: a case report. J Hand </w:t>
        </w:r>
        <w:proofErr w:type="spellStart"/>
        <w:r w:rsidR="00D85609" w:rsidRPr="00850B3F">
          <w:rPr>
            <w:rStyle w:val="Hyperlink"/>
            <w:rFonts w:ascii="Times New Roman" w:hAnsi="Times New Roman" w:cs="Times New Roman"/>
            <w:sz w:val="20"/>
            <w:szCs w:val="20"/>
            <w:u w:val="none"/>
          </w:rPr>
          <w:t>Surg</w:t>
        </w:r>
        <w:proofErr w:type="spellEnd"/>
        <w:r w:rsidR="00D85609" w:rsidRPr="00850B3F">
          <w:rPr>
            <w:rStyle w:val="Hyperlink"/>
            <w:rFonts w:ascii="Times New Roman" w:hAnsi="Times New Roman" w:cs="Times New Roman"/>
            <w:sz w:val="20"/>
            <w:szCs w:val="20"/>
            <w:u w:val="none"/>
          </w:rPr>
          <w:t xml:space="preserve"> Am 27</w:t>
        </w:r>
        <w:r w:rsidR="00393731" w:rsidRPr="00850B3F">
          <w:rPr>
            <w:rStyle w:val="Hyperlink"/>
            <w:rFonts w:ascii="Times New Roman" w:hAnsi="Times New Roman" w:cs="Times New Roman"/>
            <w:sz w:val="20"/>
            <w:szCs w:val="20"/>
            <w:u w:val="none"/>
          </w:rPr>
          <w:t>: 591-3.</w:t>
        </w:r>
      </w:hyperlink>
    </w:p>
    <w:p w14:paraId="0D48F80E" w14:textId="7F8BB7D6" w:rsidR="00393731" w:rsidRPr="00850B3F" w:rsidRDefault="00326D1C" w:rsidP="00850B3F">
      <w:pPr>
        <w:pStyle w:val="ListParagraph"/>
        <w:numPr>
          <w:ilvl w:val="0"/>
          <w:numId w:val="8"/>
        </w:numPr>
        <w:spacing w:after="0" w:line="240" w:lineRule="auto"/>
        <w:mirrorIndents/>
        <w:jc w:val="both"/>
        <w:rPr>
          <w:rFonts w:ascii="Times New Roman" w:hAnsi="Times New Roman" w:cs="Times New Roman"/>
          <w:sz w:val="20"/>
          <w:szCs w:val="20"/>
        </w:rPr>
      </w:pPr>
      <w:hyperlink r:id="rId17" w:history="1">
        <w:proofErr w:type="spellStart"/>
        <w:r w:rsidR="00393731" w:rsidRPr="00850B3F">
          <w:rPr>
            <w:rStyle w:val="Hyperlink"/>
            <w:rFonts w:ascii="Times New Roman" w:hAnsi="Times New Roman" w:cs="Times New Roman"/>
            <w:sz w:val="20"/>
            <w:szCs w:val="20"/>
            <w:u w:val="none"/>
          </w:rPr>
          <w:t>Weniger</w:t>
        </w:r>
        <w:proofErr w:type="spellEnd"/>
        <w:r w:rsidR="00393731" w:rsidRPr="00850B3F">
          <w:rPr>
            <w:rStyle w:val="Hyperlink"/>
            <w:rFonts w:ascii="Times New Roman" w:hAnsi="Times New Roman" w:cs="Times New Roman"/>
            <w:sz w:val="20"/>
            <w:szCs w:val="20"/>
            <w:u w:val="none"/>
          </w:rPr>
          <w:t xml:space="preserve"> FG, Davison SP, </w:t>
        </w:r>
        <w:proofErr w:type="spellStart"/>
        <w:r w:rsidR="00393731" w:rsidRPr="00850B3F">
          <w:rPr>
            <w:rStyle w:val="Hyperlink"/>
            <w:rFonts w:ascii="Times New Roman" w:hAnsi="Times New Roman" w:cs="Times New Roman"/>
            <w:sz w:val="20"/>
            <w:szCs w:val="20"/>
            <w:u w:val="none"/>
          </w:rPr>
          <w:t>Risin</w:t>
        </w:r>
        <w:proofErr w:type="spellEnd"/>
        <w:r w:rsidR="00393731" w:rsidRPr="00850B3F">
          <w:rPr>
            <w:rStyle w:val="Hyperlink"/>
            <w:rFonts w:ascii="Times New Roman" w:hAnsi="Times New Roman" w:cs="Times New Roman"/>
            <w:sz w:val="20"/>
            <w:szCs w:val="20"/>
            <w:u w:val="none"/>
          </w:rPr>
          <w:t xml:space="preserve"> M, </w:t>
        </w:r>
        <w:r w:rsidR="0034754A" w:rsidRPr="00850B3F">
          <w:rPr>
            <w:rStyle w:val="Hyperlink"/>
            <w:rFonts w:ascii="Times New Roman" w:hAnsi="Times New Roman" w:cs="Times New Roman"/>
            <w:sz w:val="20"/>
            <w:szCs w:val="20"/>
            <w:u w:val="none"/>
          </w:rPr>
          <w:t>et al</w:t>
        </w:r>
        <w:r w:rsidR="00393731" w:rsidRPr="00850B3F">
          <w:rPr>
            <w:rStyle w:val="Hyperlink"/>
            <w:rFonts w:ascii="Times New Roman" w:hAnsi="Times New Roman" w:cs="Times New Roman"/>
            <w:sz w:val="20"/>
            <w:szCs w:val="20"/>
            <w:u w:val="none"/>
          </w:rPr>
          <w:t>.</w:t>
        </w:r>
        <w:r w:rsidR="0034754A" w:rsidRPr="00850B3F">
          <w:rPr>
            <w:rStyle w:val="Hyperlink"/>
            <w:rFonts w:ascii="Times New Roman" w:hAnsi="Times New Roman" w:cs="Times New Roman"/>
            <w:sz w:val="20"/>
            <w:szCs w:val="20"/>
            <w:u w:val="none"/>
          </w:rPr>
          <w:t xml:space="preserve"> (2003)</w:t>
        </w:r>
        <w:r w:rsidR="00393731" w:rsidRPr="00850B3F">
          <w:rPr>
            <w:rStyle w:val="Hyperlink"/>
            <w:rFonts w:ascii="Times New Roman" w:hAnsi="Times New Roman" w:cs="Times New Roman"/>
            <w:sz w:val="20"/>
            <w:szCs w:val="20"/>
            <w:u w:val="none"/>
          </w:rPr>
          <w:t xml:space="preserve"> Gouty flexor tenosynovitis of the digits: report</w:t>
        </w:r>
        <w:r w:rsidR="0034754A" w:rsidRPr="00850B3F">
          <w:rPr>
            <w:rStyle w:val="Hyperlink"/>
            <w:rFonts w:ascii="Times New Roman" w:hAnsi="Times New Roman" w:cs="Times New Roman"/>
            <w:sz w:val="20"/>
            <w:szCs w:val="20"/>
            <w:u w:val="none"/>
          </w:rPr>
          <w:t xml:space="preserve"> of three cases. J Hand </w:t>
        </w:r>
        <w:proofErr w:type="spellStart"/>
        <w:r w:rsidR="0034754A" w:rsidRPr="00850B3F">
          <w:rPr>
            <w:rStyle w:val="Hyperlink"/>
            <w:rFonts w:ascii="Times New Roman" w:hAnsi="Times New Roman" w:cs="Times New Roman"/>
            <w:sz w:val="20"/>
            <w:szCs w:val="20"/>
            <w:u w:val="none"/>
          </w:rPr>
          <w:t>Surg</w:t>
        </w:r>
        <w:proofErr w:type="spellEnd"/>
        <w:r w:rsidR="0034754A" w:rsidRPr="00850B3F">
          <w:rPr>
            <w:rStyle w:val="Hyperlink"/>
            <w:rFonts w:ascii="Times New Roman" w:hAnsi="Times New Roman" w:cs="Times New Roman"/>
            <w:sz w:val="20"/>
            <w:szCs w:val="20"/>
            <w:u w:val="none"/>
          </w:rPr>
          <w:t xml:space="preserve"> Am 28</w:t>
        </w:r>
        <w:r w:rsidR="00393731" w:rsidRPr="00850B3F">
          <w:rPr>
            <w:rStyle w:val="Hyperlink"/>
            <w:rFonts w:ascii="Times New Roman" w:hAnsi="Times New Roman" w:cs="Times New Roman"/>
            <w:sz w:val="20"/>
            <w:szCs w:val="20"/>
            <w:u w:val="none"/>
          </w:rPr>
          <w:t>: 669-</w:t>
        </w:r>
        <w:r w:rsidR="0034754A" w:rsidRPr="00850B3F">
          <w:rPr>
            <w:rStyle w:val="Hyperlink"/>
            <w:rFonts w:ascii="Times New Roman" w:hAnsi="Times New Roman" w:cs="Times New Roman"/>
            <w:sz w:val="20"/>
            <w:szCs w:val="20"/>
            <w:u w:val="none"/>
          </w:rPr>
          <w:t>6</w:t>
        </w:r>
        <w:r w:rsidR="00393731" w:rsidRPr="00850B3F">
          <w:rPr>
            <w:rStyle w:val="Hyperlink"/>
            <w:rFonts w:ascii="Times New Roman" w:hAnsi="Times New Roman" w:cs="Times New Roman"/>
            <w:sz w:val="20"/>
            <w:szCs w:val="20"/>
            <w:u w:val="none"/>
          </w:rPr>
          <w:t>72.</w:t>
        </w:r>
      </w:hyperlink>
    </w:p>
    <w:p w14:paraId="4360EB4E" w14:textId="30EF48B5" w:rsidR="00393731" w:rsidRPr="00B10C72" w:rsidRDefault="00326D1C" w:rsidP="00850B3F">
      <w:pPr>
        <w:pStyle w:val="ListParagraph"/>
        <w:numPr>
          <w:ilvl w:val="0"/>
          <w:numId w:val="8"/>
        </w:numPr>
        <w:spacing w:after="0" w:line="240" w:lineRule="auto"/>
        <w:mirrorIndents/>
        <w:jc w:val="both"/>
        <w:rPr>
          <w:rFonts w:ascii="Times New Roman" w:hAnsi="Times New Roman" w:cs="Times New Roman"/>
          <w:sz w:val="20"/>
          <w:szCs w:val="20"/>
        </w:rPr>
      </w:pPr>
      <w:hyperlink r:id="rId18" w:history="1">
        <w:proofErr w:type="spellStart"/>
        <w:r w:rsidR="00AA3577" w:rsidRPr="00B10C72">
          <w:rPr>
            <w:rStyle w:val="Hyperlink"/>
            <w:rFonts w:ascii="Times New Roman" w:hAnsi="Times New Roman" w:cs="Times New Roman"/>
            <w:sz w:val="20"/>
            <w:szCs w:val="20"/>
            <w:u w:val="none"/>
          </w:rPr>
          <w:t>Neogi</w:t>
        </w:r>
        <w:proofErr w:type="spellEnd"/>
        <w:r w:rsidR="00AA3577" w:rsidRPr="00B10C72">
          <w:rPr>
            <w:rStyle w:val="Hyperlink"/>
            <w:rFonts w:ascii="Times New Roman" w:hAnsi="Times New Roman" w:cs="Times New Roman"/>
            <w:sz w:val="20"/>
            <w:szCs w:val="20"/>
            <w:u w:val="none"/>
          </w:rPr>
          <w:t xml:space="preserve"> T (2016) </w:t>
        </w:r>
        <w:r w:rsidR="00393731" w:rsidRPr="00B10C72">
          <w:rPr>
            <w:rStyle w:val="Hyperlink"/>
            <w:rFonts w:ascii="Times New Roman" w:hAnsi="Times New Roman" w:cs="Times New Roman"/>
            <w:sz w:val="20"/>
            <w:szCs w:val="20"/>
            <w:u w:val="none"/>
          </w:rPr>
          <w:t>Gou</w:t>
        </w:r>
        <w:r w:rsidR="007D61D7" w:rsidRPr="00B10C72">
          <w:rPr>
            <w:rStyle w:val="Hyperlink"/>
            <w:rFonts w:ascii="Times New Roman" w:hAnsi="Times New Roman" w:cs="Times New Roman"/>
            <w:sz w:val="20"/>
            <w:szCs w:val="20"/>
            <w:u w:val="none"/>
          </w:rPr>
          <w:t>t</w:t>
        </w:r>
        <w:r w:rsidR="00AA3577" w:rsidRPr="00B10C72">
          <w:rPr>
            <w:rStyle w:val="Hyperlink"/>
            <w:rFonts w:ascii="Times New Roman" w:hAnsi="Times New Roman" w:cs="Times New Roman"/>
            <w:sz w:val="20"/>
            <w:szCs w:val="20"/>
            <w:u w:val="none"/>
          </w:rPr>
          <w:t xml:space="preserve">. </w:t>
        </w:r>
        <w:r w:rsidR="007D61D7" w:rsidRPr="00B10C72">
          <w:rPr>
            <w:rStyle w:val="Hyperlink"/>
            <w:rFonts w:ascii="Times New Roman" w:hAnsi="Times New Roman" w:cs="Times New Roman"/>
            <w:sz w:val="20"/>
            <w:szCs w:val="20"/>
            <w:u w:val="none"/>
          </w:rPr>
          <w:t xml:space="preserve">Ann Intern Med </w:t>
        </w:r>
        <w:r w:rsidR="00393731" w:rsidRPr="00B10C72">
          <w:rPr>
            <w:rStyle w:val="Hyperlink"/>
            <w:rFonts w:ascii="Times New Roman" w:hAnsi="Times New Roman" w:cs="Times New Roman"/>
            <w:sz w:val="20"/>
            <w:szCs w:val="20"/>
            <w:u w:val="none"/>
          </w:rPr>
          <w:t>165: 1-16.</w:t>
        </w:r>
      </w:hyperlink>
    </w:p>
    <w:p w14:paraId="782FEE58" w14:textId="2AA17D1B" w:rsidR="00393731" w:rsidRPr="00850B3F" w:rsidRDefault="00326D1C" w:rsidP="00850B3F">
      <w:pPr>
        <w:pStyle w:val="ListParagraph"/>
        <w:numPr>
          <w:ilvl w:val="0"/>
          <w:numId w:val="8"/>
        </w:numPr>
        <w:spacing w:after="0" w:line="240" w:lineRule="auto"/>
        <w:mirrorIndents/>
        <w:jc w:val="both"/>
        <w:rPr>
          <w:rFonts w:ascii="Times New Roman" w:hAnsi="Times New Roman" w:cs="Times New Roman"/>
          <w:sz w:val="20"/>
          <w:szCs w:val="20"/>
        </w:rPr>
      </w:pPr>
      <w:hyperlink r:id="rId19" w:history="1">
        <w:r w:rsidR="00393731" w:rsidRPr="00850B3F">
          <w:rPr>
            <w:rStyle w:val="Hyperlink"/>
            <w:rFonts w:ascii="Times New Roman" w:hAnsi="Times New Roman" w:cs="Times New Roman"/>
            <w:sz w:val="20"/>
            <w:szCs w:val="20"/>
            <w:u w:val="none"/>
          </w:rPr>
          <w:t xml:space="preserve">Kasper IR, </w:t>
        </w:r>
        <w:proofErr w:type="spellStart"/>
        <w:r w:rsidR="00393731" w:rsidRPr="00850B3F">
          <w:rPr>
            <w:rStyle w:val="Hyperlink"/>
            <w:rFonts w:ascii="Times New Roman" w:hAnsi="Times New Roman" w:cs="Times New Roman"/>
            <w:sz w:val="20"/>
            <w:szCs w:val="20"/>
            <w:u w:val="none"/>
          </w:rPr>
          <w:t>Juriga</w:t>
        </w:r>
        <w:proofErr w:type="spellEnd"/>
        <w:r w:rsidR="00393731" w:rsidRPr="00850B3F">
          <w:rPr>
            <w:rStyle w:val="Hyperlink"/>
            <w:rFonts w:ascii="Times New Roman" w:hAnsi="Times New Roman" w:cs="Times New Roman"/>
            <w:sz w:val="20"/>
            <w:szCs w:val="20"/>
            <w:u w:val="none"/>
          </w:rPr>
          <w:t xml:space="preserve"> MD, </w:t>
        </w:r>
        <w:proofErr w:type="spellStart"/>
        <w:r w:rsidR="00393731" w:rsidRPr="00850B3F">
          <w:rPr>
            <w:rStyle w:val="Hyperlink"/>
            <w:rFonts w:ascii="Times New Roman" w:hAnsi="Times New Roman" w:cs="Times New Roman"/>
            <w:sz w:val="20"/>
            <w:szCs w:val="20"/>
            <w:u w:val="none"/>
          </w:rPr>
          <w:t>Guirini</w:t>
        </w:r>
        <w:proofErr w:type="spellEnd"/>
        <w:r w:rsidR="00393731" w:rsidRPr="00850B3F">
          <w:rPr>
            <w:rStyle w:val="Hyperlink"/>
            <w:rFonts w:ascii="Times New Roman" w:hAnsi="Times New Roman" w:cs="Times New Roman"/>
            <w:sz w:val="20"/>
            <w:szCs w:val="20"/>
            <w:u w:val="none"/>
          </w:rPr>
          <w:t xml:space="preserve"> JM, </w:t>
        </w:r>
        <w:proofErr w:type="spellStart"/>
        <w:r w:rsidR="00393731" w:rsidRPr="00850B3F">
          <w:rPr>
            <w:rStyle w:val="Hyperlink"/>
            <w:rFonts w:ascii="Times New Roman" w:hAnsi="Times New Roman" w:cs="Times New Roman"/>
            <w:sz w:val="20"/>
            <w:szCs w:val="20"/>
            <w:u w:val="none"/>
          </w:rPr>
          <w:t>Shmerling</w:t>
        </w:r>
        <w:proofErr w:type="spellEnd"/>
        <w:r w:rsidR="00393731" w:rsidRPr="00850B3F">
          <w:rPr>
            <w:rStyle w:val="Hyperlink"/>
            <w:rFonts w:ascii="Times New Roman" w:hAnsi="Times New Roman" w:cs="Times New Roman"/>
            <w:sz w:val="20"/>
            <w:szCs w:val="20"/>
            <w:u w:val="none"/>
          </w:rPr>
          <w:t xml:space="preserve"> RH.</w:t>
        </w:r>
        <w:r w:rsidR="00FA6644" w:rsidRPr="00850B3F">
          <w:rPr>
            <w:rStyle w:val="Hyperlink"/>
            <w:rFonts w:ascii="Times New Roman" w:hAnsi="Times New Roman" w:cs="Times New Roman"/>
            <w:sz w:val="20"/>
            <w:szCs w:val="20"/>
            <w:u w:val="none"/>
          </w:rPr>
          <w:t xml:space="preserve"> (2016)</w:t>
        </w:r>
        <w:r w:rsidR="00393731" w:rsidRPr="00850B3F">
          <w:rPr>
            <w:rStyle w:val="Hyperlink"/>
            <w:rFonts w:ascii="Times New Roman" w:hAnsi="Times New Roman" w:cs="Times New Roman"/>
            <w:sz w:val="20"/>
            <w:szCs w:val="20"/>
            <w:u w:val="none"/>
          </w:rPr>
          <w:t xml:space="preserve"> Treatment of </w:t>
        </w:r>
        <w:proofErr w:type="spellStart"/>
        <w:r w:rsidR="00393731" w:rsidRPr="00850B3F">
          <w:rPr>
            <w:rStyle w:val="Hyperlink"/>
            <w:rFonts w:ascii="Times New Roman" w:hAnsi="Times New Roman" w:cs="Times New Roman"/>
            <w:sz w:val="20"/>
            <w:szCs w:val="20"/>
            <w:u w:val="none"/>
          </w:rPr>
          <w:t>tophaceous</w:t>
        </w:r>
        <w:proofErr w:type="spellEnd"/>
        <w:r w:rsidR="00393731" w:rsidRPr="00850B3F">
          <w:rPr>
            <w:rStyle w:val="Hyperlink"/>
            <w:rFonts w:ascii="Times New Roman" w:hAnsi="Times New Roman" w:cs="Times New Roman"/>
            <w:sz w:val="20"/>
            <w:szCs w:val="20"/>
            <w:u w:val="none"/>
          </w:rPr>
          <w:t xml:space="preserve"> gout: when medication is no</w:t>
        </w:r>
        <w:r w:rsidR="00FA6644" w:rsidRPr="00850B3F">
          <w:rPr>
            <w:rStyle w:val="Hyperlink"/>
            <w:rFonts w:ascii="Times New Roman" w:hAnsi="Times New Roman" w:cs="Times New Roman"/>
            <w:sz w:val="20"/>
            <w:szCs w:val="20"/>
            <w:u w:val="none"/>
          </w:rPr>
          <w:t xml:space="preserve">t enough. </w:t>
        </w:r>
        <w:proofErr w:type="spellStart"/>
        <w:r w:rsidR="00FA6644" w:rsidRPr="00850B3F">
          <w:rPr>
            <w:rStyle w:val="Hyperlink"/>
            <w:rFonts w:ascii="Times New Roman" w:hAnsi="Times New Roman" w:cs="Times New Roman"/>
            <w:sz w:val="20"/>
            <w:szCs w:val="20"/>
            <w:u w:val="none"/>
          </w:rPr>
          <w:t>Semin</w:t>
        </w:r>
        <w:proofErr w:type="spellEnd"/>
        <w:r w:rsidR="00FA6644" w:rsidRPr="00850B3F">
          <w:rPr>
            <w:rStyle w:val="Hyperlink"/>
            <w:rFonts w:ascii="Times New Roman" w:hAnsi="Times New Roman" w:cs="Times New Roman"/>
            <w:sz w:val="20"/>
            <w:szCs w:val="20"/>
            <w:u w:val="none"/>
          </w:rPr>
          <w:t xml:space="preserve"> Arthritis Rheum</w:t>
        </w:r>
        <w:r w:rsidR="00393731" w:rsidRPr="00850B3F">
          <w:rPr>
            <w:rStyle w:val="Hyperlink"/>
            <w:rFonts w:ascii="Times New Roman" w:hAnsi="Times New Roman" w:cs="Times New Roman"/>
            <w:sz w:val="20"/>
            <w:szCs w:val="20"/>
            <w:u w:val="none"/>
          </w:rPr>
          <w:t xml:space="preserve"> 45: 669-74.</w:t>
        </w:r>
      </w:hyperlink>
    </w:p>
    <w:p w14:paraId="61D78C18" w14:textId="71D43E1E" w:rsidR="00393731" w:rsidRPr="00850B3F" w:rsidRDefault="00326D1C" w:rsidP="00850B3F">
      <w:pPr>
        <w:pStyle w:val="ListParagraph"/>
        <w:numPr>
          <w:ilvl w:val="0"/>
          <w:numId w:val="8"/>
        </w:numPr>
        <w:spacing w:after="0" w:line="240" w:lineRule="auto"/>
        <w:mirrorIndents/>
        <w:jc w:val="both"/>
        <w:rPr>
          <w:rFonts w:ascii="Times New Roman" w:hAnsi="Times New Roman" w:cs="Times New Roman"/>
          <w:sz w:val="20"/>
          <w:szCs w:val="20"/>
        </w:rPr>
      </w:pPr>
      <w:hyperlink r:id="rId20" w:history="1">
        <w:proofErr w:type="spellStart"/>
        <w:r w:rsidR="00393731" w:rsidRPr="00850B3F">
          <w:rPr>
            <w:rStyle w:val="Hyperlink"/>
            <w:rFonts w:ascii="Times New Roman" w:hAnsi="Times New Roman" w:cs="Times New Roman"/>
            <w:sz w:val="20"/>
            <w:szCs w:val="20"/>
            <w:u w:val="none"/>
          </w:rPr>
          <w:t>Tajika</w:t>
        </w:r>
        <w:proofErr w:type="spellEnd"/>
        <w:r w:rsidR="00393731" w:rsidRPr="00850B3F">
          <w:rPr>
            <w:rStyle w:val="Hyperlink"/>
            <w:rFonts w:ascii="Times New Roman" w:hAnsi="Times New Roman" w:cs="Times New Roman"/>
            <w:sz w:val="20"/>
            <w:szCs w:val="20"/>
            <w:u w:val="none"/>
          </w:rPr>
          <w:t xml:space="preserve"> T, </w:t>
        </w:r>
        <w:proofErr w:type="spellStart"/>
        <w:r w:rsidR="00393731" w:rsidRPr="00850B3F">
          <w:rPr>
            <w:rStyle w:val="Hyperlink"/>
            <w:rFonts w:ascii="Times New Roman" w:hAnsi="Times New Roman" w:cs="Times New Roman"/>
            <w:sz w:val="20"/>
            <w:szCs w:val="20"/>
            <w:u w:val="none"/>
          </w:rPr>
          <w:t>Kuboi</w:t>
        </w:r>
        <w:proofErr w:type="spellEnd"/>
        <w:r w:rsidR="00393731" w:rsidRPr="00850B3F">
          <w:rPr>
            <w:rStyle w:val="Hyperlink"/>
            <w:rFonts w:ascii="Times New Roman" w:hAnsi="Times New Roman" w:cs="Times New Roman"/>
            <w:sz w:val="20"/>
            <w:szCs w:val="20"/>
            <w:u w:val="none"/>
          </w:rPr>
          <w:t xml:space="preserve"> T, </w:t>
        </w:r>
        <w:proofErr w:type="spellStart"/>
        <w:r w:rsidR="00393731" w:rsidRPr="00850B3F">
          <w:rPr>
            <w:rStyle w:val="Hyperlink"/>
            <w:rFonts w:ascii="Times New Roman" w:hAnsi="Times New Roman" w:cs="Times New Roman"/>
            <w:sz w:val="20"/>
            <w:szCs w:val="20"/>
            <w:u w:val="none"/>
          </w:rPr>
          <w:t>Mieda</w:t>
        </w:r>
        <w:proofErr w:type="spellEnd"/>
        <w:r w:rsidR="00393731" w:rsidRPr="00850B3F">
          <w:rPr>
            <w:rStyle w:val="Hyperlink"/>
            <w:rFonts w:ascii="Times New Roman" w:hAnsi="Times New Roman" w:cs="Times New Roman"/>
            <w:sz w:val="20"/>
            <w:szCs w:val="20"/>
            <w:u w:val="none"/>
          </w:rPr>
          <w:t xml:space="preserve"> T, et al.</w:t>
        </w:r>
        <w:r w:rsidR="00AA55E5" w:rsidRPr="00850B3F">
          <w:rPr>
            <w:rStyle w:val="Hyperlink"/>
            <w:rFonts w:ascii="Times New Roman" w:hAnsi="Times New Roman" w:cs="Times New Roman"/>
            <w:sz w:val="20"/>
            <w:szCs w:val="20"/>
            <w:u w:val="none"/>
          </w:rPr>
          <w:t xml:space="preserve"> (2019)</w:t>
        </w:r>
        <w:r w:rsidR="00393731" w:rsidRPr="00850B3F">
          <w:rPr>
            <w:rStyle w:val="Hyperlink"/>
            <w:rFonts w:ascii="Times New Roman" w:hAnsi="Times New Roman" w:cs="Times New Roman"/>
            <w:sz w:val="20"/>
            <w:szCs w:val="20"/>
            <w:u w:val="none"/>
          </w:rPr>
          <w:t xml:space="preserve"> Digital flexion contracture caused by </w:t>
        </w:r>
        <w:proofErr w:type="spellStart"/>
        <w:r w:rsidR="00393731" w:rsidRPr="00850B3F">
          <w:rPr>
            <w:rStyle w:val="Hyperlink"/>
            <w:rFonts w:ascii="Times New Roman" w:hAnsi="Times New Roman" w:cs="Times New Roman"/>
            <w:sz w:val="20"/>
            <w:szCs w:val="20"/>
            <w:u w:val="none"/>
          </w:rPr>
          <w:t>tophaceous</w:t>
        </w:r>
        <w:proofErr w:type="spellEnd"/>
        <w:r w:rsidR="00393731" w:rsidRPr="00850B3F">
          <w:rPr>
            <w:rStyle w:val="Hyperlink"/>
            <w:rFonts w:ascii="Times New Roman" w:hAnsi="Times New Roman" w:cs="Times New Roman"/>
            <w:sz w:val="20"/>
            <w:szCs w:val="20"/>
            <w:u w:val="none"/>
          </w:rPr>
          <w:t xml:space="preserve"> gout in flexor</w:t>
        </w:r>
        <w:r w:rsidR="00AA55E5" w:rsidRPr="00850B3F">
          <w:rPr>
            <w:rStyle w:val="Hyperlink"/>
            <w:rFonts w:ascii="Times New Roman" w:hAnsi="Times New Roman" w:cs="Times New Roman"/>
            <w:sz w:val="20"/>
            <w:szCs w:val="20"/>
            <w:u w:val="none"/>
          </w:rPr>
          <w:t xml:space="preserve"> tendon. SAGE Open Med Case Rep</w:t>
        </w:r>
        <w:r w:rsidR="00393731" w:rsidRPr="00850B3F">
          <w:rPr>
            <w:rStyle w:val="Hyperlink"/>
            <w:rFonts w:ascii="Times New Roman" w:hAnsi="Times New Roman" w:cs="Times New Roman"/>
            <w:sz w:val="20"/>
            <w:szCs w:val="20"/>
            <w:u w:val="none"/>
          </w:rPr>
          <w:t xml:space="preserve"> 7: 1-3.</w:t>
        </w:r>
      </w:hyperlink>
    </w:p>
    <w:p w14:paraId="252664BD" w14:textId="2A17DB21" w:rsidR="00393731" w:rsidRPr="00850B3F" w:rsidRDefault="00326D1C" w:rsidP="00850B3F">
      <w:pPr>
        <w:pStyle w:val="ListParagraph"/>
        <w:numPr>
          <w:ilvl w:val="0"/>
          <w:numId w:val="8"/>
        </w:numPr>
        <w:spacing w:after="0" w:line="240" w:lineRule="auto"/>
        <w:mirrorIndents/>
        <w:jc w:val="both"/>
        <w:rPr>
          <w:rFonts w:ascii="Times New Roman" w:hAnsi="Times New Roman" w:cs="Times New Roman"/>
          <w:sz w:val="20"/>
          <w:szCs w:val="20"/>
        </w:rPr>
      </w:pPr>
      <w:hyperlink r:id="rId21" w:history="1">
        <w:proofErr w:type="spellStart"/>
        <w:r w:rsidR="00393731" w:rsidRPr="00850B3F">
          <w:rPr>
            <w:rStyle w:val="Hyperlink"/>
            <w:rFonts w:ascii="Times New Roman" w:hAnsi="Times New Roman" w:cs="Times New Roman"/>
            <w:sz w:val="20"/>
            <w:szCs w:val="20"/>
            <w:u w:val="none"/>
          </w:rPr>
          <w:t>Schuind</w:t>
        </w:r>
        <w:proofErr w:type="spellEnd"/>
        <w:r w:rsidR="00393731" w:rsidRPr="00850B3F">
          <w:rPr>
            <w:rStyle w:val="Hyperlink"/>
            <w:rFonts w:ascii="Times New Roman" w:hAnsi="Times New Roman" w:cs="Times New Roman"/>
            <w:sz w:val="20"/>
            <w:szCs w:val="20"/>
            <w:u w:val="none"/>
          </w:rPr>
          <w:t xml:space="preserve"> FD, Clermont D, </w:t>
        </w:r>
        <w:proofErr w:type="spellStart"/>
        <w:r w:rsidR="00393731" w:rsidRPr="00850B3F">
          <w:rPr>
            <w:rStyle w:val="Hyperlink"/>
            <w:rFonts w:ascii="Times New Roman" w:hAnsi="Times New Roman" w:cs="Times New Roman"/>
            <w:sz w:val="20"/>
            <w:szCs w:val="20"/>
            <w:u w:val="none"/>
          </w:rPr>
          <w:t>Stallenberg</w:t>
        </w:r>
        <w:proofErr w:type="spellEnd"/>
        <w:r w:rsidR="00393731" w:rsidRPr="00850B3F">
          <w:rPr>
            <w:rStyle w:val="Hyperlink"/>
            <w:rFonts w:ascii="Times New Roman" w:hAnsi="Times New Roman" w:cs="Times New Roman"/>
            <w:sz w:val="20"/>
            <w:szCs w:val="20"/>
            <w:u w:val="none"/>
          </w:rPr>
          <w:t xml:space="preserve"> B, et al.</w:t>
        </w:r>
        <w:r w:rsidR="00670054" w:rsidRPr="00850B3F">
          <w:rPr>
            <w:rStyle w:val="Hyperlink"/>
            <w:rFonts w:ascii="Times New Roman" w:hAnsi="Times New Roman" w:cs="Times New Roman"/>
            <w:sz w:val="20"/>
            <w:szCs w:val="20"/>
            <w:u w:val="none"/>
          </w:rPr>
          <w:t xml:space="preserve"> (2003)</w:t>
        </w:r>
        <w:r w:rsidR="00393731" w:rsidRPr="00850B3F">
          <w:rPr>
            <w:rStyle w:val="Hyperlink"/>
            <w:rFonts w:ascii="Times New Roman" w:hAnsi="Times New Roman" w:cs="Times New Roman"/>
            <w:sz w:val="20"/>
            <w:szCs w:val="20"/>
            <w:u w:val="none"/>
          </w:rPr>
          <w:t xml:space="preserve"> Gouty involveme</w:t>
        </w:r>
        <w:r w:rsidR="00670054" w:rsidRPr="00850B3F">
          <w:rPr>
            <w:rStyle w:val="Hyperlink"/>
            <w:rFonts w:ascii="Times New Roman" w:hAnsi="Times New Roman" w:cs="Times New Roman"/>
            <w:sz w:val="20"/>
            <w:szCs w:val="20"/>
            <w:u w:val="none"/>
          </w:rPr>
          <w:t xml:space="preserve">nt of flexor tendons. </w:t>
        </w:r>
        <w:proofErr w:type="spellStart"/>
        <w:r w:rsidR="00670054" w:rsidRPr="00850B3F">
          <w:rPr>
            <w:rStyle w:val="Hyperlink"/>
            <w:rFonts w:ascii="Times New Roman" w:hAnsi="Times New Roman" w:cs="Times New Roman"/>
            <w:sz w:val="20"/>
            <w:szCs w:val="20"/>
            <w:u w:val="none"/>
          </w:rPr>
          <w:t>Chir</w:t>
        </w:r>
        <w:proofErr w:type="spellEnd"/>
        <w:r w:rsidR="00670054" w:rsidRPr="00850B3F">
          <w:rPr>
            <w:rStyle w:val="Hyperlink"/>
            <w:rFonts w:ascii="Times New Roman" w:hAnsi="Times New Roman" w:cs="Times New Roman"/>
            <w:sz w:val="20"/>
            <w:szCs w:val="20"/>
            <w:u w:val="none"/>
          </w:rPr>
          <w:t xml:space="preserve"> Main 22</w:t>
        </w:r>
        <w:r w:rsidR="00393731" w:rsidRPr="00850B3F">
          <w:rPr>
            <w:rStyle w:val="Hyperlink"/>
            <w:rFonts w:ascii="Times New Roman" w:hAnsi="Times New Roman" w:cs="Times New Roman"/>
            <w:sz w:val="20"/>
            <w:szCs w:val="20"/>
            <w:u w:val="none"/>
          </w:rPr>
          <w:t>:</w:t>
        </w:r>
        <w:r w:rsidR="00670054" w:rsidRPr="00850B3F">
          <w:rPr>
            <w:rStyle w:val="Hyperlink"/>
            <w:rFonts w:ascii="Times New Roman" w:hAnsi="Times New Roman" w:cs="Times New Roman"/>
            <w:sz w:val="20"/>
            <w:szCs w:val="20"/>
            <w:u w:val="none"/>
          </w:rPr>
          <w:t xml:space="preserve"> </w:t>
        </w:r>
        <w:r w:rsidR="00393731" w:rsidRPr="00850B3F">
          <w:rPr>
            <w:rStyle w:val="Hyperlink"/>
            <w:rFonts w:ascii="Times New Roman" w:hAnsi="Times New Roman" w:cs="Times New Roman"/>
            <w:sz w:val="20"/>
            <w:szCs w:val="20"/>
            <w:u w:val="none"/>
          </w:rPr>
          <w:t>46-50.</w:t>
        </w:r>
      </w:hyperlink>
      <w:r w:rsidR="00393731" w:rsidRPr="00850B3F">
        <w:rPr>
          <w:rFonts w:ascii="Times New Roman" w:hAnsi="Times New Roman" w:cs="Times New Roman"/>
          <w:sz w:val="20"/>
          <w:szCs w:val="20"/>
        </w:rPr>
        <w:t xml:space="preserve"> </w:t>
      </w:r>
    </w:p>
    <w:p w14:paraId="388348E2" w14:textId="59AD5189" w:rsidR="00F5230E" w:rsidRDefault="00326D1C" w:rsidP="006300B6">
      <w:pPr>
        <w:pStyle w:val="ListParagraph"/>
        <w:numPr>
          <w:ilvl w:val="0"/>
          <w:numId w:val="8"/>
        </w:numPr>
        <w:spacing w:after="0" w:line="240" w:lineRule="auto"/>
        <w:mirrorIndents/>
        <w:jc w:val="both"/>
        <w:rPr>
          <w:rFonts w:ascii="Times New Roman" w:hAnsi="Times New Roman" w:cs="Times New Roman"/>
          <w:sz w:val="20"/>
          <w:szCs w:val="20"/>
        </w:rPr>
      </w:pPr>
      <w:hyperlink r:id="rId22" w:history="1">
        <w:proofErr w:type="spellStart"/>
        <w:r w:rsidR="00393731" w:rsidRPr="001962A0">
          <w:rPr>
            <w:rStyle w:val="Hyperlink"/>
            <w:rFonts w:ascii="Times New Roman" w:hAnsi="Times New Roman" w:cs="Times New Roman"/>
            <w:sz w:val="20"/>
            <w:szCs w:val="20"/>
            <w:u w:val="none"/>
          </w:rPr>
          <w:t>Hankin</w:t>
        </w:r>
        <w:proofErr w:type="spellEnd"/>
        <w:r w:rsidR="00393731" w:rsidRPr="001962A0">
          <w:rPr>
            <w:rStyle w:val="Hyperlink"/>
            <w:rFonts w:ascii="Times New Roman" w:hAnsi="Times New Roman" w:cs="Times New Roman"/>
            <w:sz w:val="20"/>
            <w:szCs w:val="20"/>
            <w:u w:val="none"/>
          </w:rPr>
          <w:t xml:space="preserve"> FM, Mayhew DE, </w:t>
        </w:r>
        <w:proofErr w:type="spellStart"/>
        <w:r w:rsidR="00393731" w:rsidRPr="001962A0">
          <w:rPr>
            <w:rStyle w:val="Hyperlink"/>
            <w:rFonts w:ascii="Times New Roman" w:hAnsi="Times New Roman" w:cs="Times New Roman"/>
            <w:sz w:val="20"/>
            <w:szCs w:val="20"/>
            <w:u w:val="none"/>
          </w:rPr>
          <w:t>Coapman</w:t>
        </w:r>
        <w:proofErr w:type="spellEnd"/>
        <w:r w:rsidR="00393731" w:rsidRPr="001962A0">
          <w:rPr>
            <w:rStyle w:val="Hyperlink"/>
            <w:rFonts w:ascii="Times New Roman" w:hAnsi="Times New Roman" w:cs="Times New Roman"/>
            <w:sz w:val="20"/>
            <w:szCs w:val="20"/>
            <w:u w:val="none"/>
          </w:rPr>
          <w:t xml:space="preserve"> RA, et al.</w:t>
        </w:r>
        <w:r w:rsidR="00670054" w:rsidRPr="001962A0">
          <w:rPr>
            <w:rStyle w:val="Hyperlink"/>
            <w:rFonts w:ascii="Times New Roman" w:hAnsi="Times New Roman" w:cs="Times New Roman"/>
            <w:sz w:val="20"/>
            <w:szCs w:val="20"/>
            <w:u w:val="none"/>
          </w:rPr>
          <w:t xml:space="preserve"> (1985)</w:t>
        </w:r>
        <w:r w:rsidR="00393731" w:rsidRPr="001962A0">
          <w:rPr>
            <w:rStyle w:val="Hyperlink"/>
            <w:rFonts w:ascii="Times New Roman" w:hAnsi="Times New Roman" w:cs="Times New Roman"/>
            <w:sz w:val="20"/>
            <w:szCs w:val="20"/>
            <w:u w:val="none"/>
          </w:rPr>
          <w:t xml:space="preserve"> Gouty infiltration of a flexor tendon simulating</w:t>
        </w:r>
        <w:r w:rsidR="00670054" w:rsidRPr="001962A0">
          <w:rPr>
            <w:rStyle w:val="Hyperlink"/>
            <w:rFonts w:ascii="Times New Roman" w:hAnsi="Times New Roman" w:cs="Times New Roman"/>
            <w:sz w:val="20"/>
            <w:szCs w:val="20"/>
            <w:u w:val="none"/>
          </w:rPr>
          <w:t xml:space="preserve"> rupture. </w:t>
        </w:r>
        <w:proofErr w:type="spellStart"/>
        <w:r w:rsidR="00670054" w:rsidRPr="001962A0">
          <w:rPr>
            <w:rStyle w:val="Hyperlink"/>
            <w:rFonts w:ascii="Times New Roman" w:hAnsi="Times New Roman" w:cs="Times New Roman"/>
            <w:sz w:val="20"/>
            <w:szCs w:val="20"/>
            <w:u w:val="none"/>
          </w:rPr>
          <w:t>Clin</w:t>
        </w:r>
        <w:proofErr w:type="spellEnd"/>
        <w:r w:rsidR="00670054" w:rsidRPr="001962A0">
          <w:rPr>
            <w:rStyle w:val="Hyperlink"/>
            <w:rFonts w:ascii="Times New Roman" w:hAnsi="Times New Roman" w:cs="Times New Roman"/>
            <w:sz w:val="20"/>
            <w:szCs w:val="20"/>
            <w:u w:val="none"/>
          </w:rPr>
          <w:t xml:space="preserve"> </w:t>
        </w:r>
        <w:proofErr w:type="spellStart"/>
        <w:r w:rsidR="00670054" w:rsidRPr="001962A0">
          <w:rPr>
            <w:rStyle w:val="Hyperlink"/>
            <w:rFonts w:ascii="Times New Roman" w:hAnsi="Times New Roman" w:cs="Times New Roman"/>
            <w:sz w:val="20"/>
            <w:szCs w:val="20"/>
            <w:u w:val="none"/>
          </w:rPr>
          <w:t>Orthop</w:t>
        </w:r>
        <w:proofErr w:type="spellEnd"/>
        <w:r w:rsidR="00670054" w:rsidRPr="001962A0">
          <w:rPr>
            <w:rStyle w:val="Hyperlink"/>
            <w:rFonts w:ascii="Times New Roman" w:hAnsi="Times New Roman" w:cs="Times New Roman"/>
            <w:sz w:val="20"/>
            <w:szCs w:val="20"/>
            <w:u w:val="none"/>
          </w:rPr>
          <w:t xml:space="preserve"> </w:t>
        </w:r>
        <w:proofErr w:type="spellStart"/>
        <w:r w:rsidR="00670054" w:rsidRPr="001962A0">
          <w:rPr>
            <w:rStyle w:val="Hyperlink"/>
            <w:rFonts w:ascii="Times New Roman" w:hAnsi="Times New Roman" w:cs="Times New Roman"/>
            <w:sz w:val="20"/>
            <w:szCs w:val="20"/>
            <w:u w:val="none"/>
          </w:rPr>
          <w:t>Relat</w:t>
        </w:r>
        <w:proofErr w:type="spellEnd"/>
        <w:r w:rsidR="00670054" w:rsidRPr="001962A0">
          <w:rPr>
            <w:rStyle w:val="Hyperlink"/>
            <w:rFonts w:ascii="Times New Roman" w:hAnsi="Times New Roman" w:cs="Times New Roman"/>
            <w:sz w:val="20"/>
            <w:szCs w:val="20"/>
            <w:u w:val="none"/>
          </w:rPr>
          <w:t xml:space="preserve"> Res</w:t>
        </w:r>
        <w:r w:rsidR="00393731" w:rsidRPr="001962A0">
          <w:rPr>
            <w:rStyle w:val="Hyperlink"/>
            <w:rFonts w:ascii="Times New Roman" w:hAnsi="Times New Roman" w:cs="Times New Roman"/>
            <w:sz w:val="20"/>
            <w:szCs w:val="20"/>
            <w:u w:val="none"/>
          </w:rPr>
          <w:t xml:space="preserve"> 194:</w:t>
        </w:r>
        <w:r w:rsidR="00670054" w:rsidRPr="001962A0">
          <w:rPr>
            <w:rStyle w:val="Hyperlink"/>
            <w:rFonts w:ascii="Times New Roman" w:hAnsi="Times New Roman" w:cs="Times New Roman"/>
            <w:sz w:val="20"/>
            <w:szCs w:val="20"/>
            <w:u w:val="none"/>
          </w:rPr>
          <w:t xml:space="preserve"> </w:t>
        </w:r>
        <w:r w:rsidR="00393731" w:rsidRPr="001962A0">
          <w:rPr>
            <w:rStyle w:val="Hyperlink"/>
            <w:rFonts w:ascii="Times New Roman" w:hAnsi="Times New Roman" w:cs="Times New Roman"/>
            <w:sz w:val="20"/>
            <w:szCs w:val="20"/>
            <w:u w:val="none"/>
          </w:rPr>
          <w:t>172-</w:t>
        </w:r>
        <w:r w:rsidR="00670054" w:rsidRPr="001962A0">
          <w:rPr>
            <w:rStyle w:val="Hyperlink"/>
            <w:rFonts w:ascii="Times New Roman" w:hAnsi="Times New Roman" w:cs="Times New Roman"/>
            <w:sz w:val="20"/>
            <w:szCs w:val="20"/>
            <w:u w:val="none"/>
          </w:rPr>
          <w:t>17</w:t>
        </w:r>
        <w:r w:rsidR="00393731" w:rsidRPr="001962A0">
          <w:rPr>
            <w:rStyle w:val="Hyperlink"/>
            <w:rFonts w:ascii="Times New Roman" w:hAnsi="Times New Roman" w:cs="Times New Roman"/>
            <w:sz w:val="20"/>
            <w:szCs w:val="20"/>
            <w:u w:val="none"/>
          </w:rPr>
          <w:t>5.</w:t>
        </w:r>
      </w:hyperlink>
    </w:p>
    <w:sectPr w:rsidR="00F5230E" w:rsidSect="00D121B0">
      <w:headerReference w:type="default" r:id="rId2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DB993" w14:textId="77777777" w:rsidR="00326D1C" w:rsidRDefault="00326D1C" w:rsidP="00E5175D">
      <w:r>
        <w:separator/>
      </w:r>
    </w:p>
  </w:endnote>
  <w:endnote w:type="continuationSeparator" w:id="0">
    <w:p w14:paraId="0C22AE60" w14:textId="77777777" w:rsidR="00326D1C" w:rsidRDefault="00326D1C" w:rsidP="00E51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D04FA" w14:textId="77777777" w:rsidR="00326D1C" w:rsidRDefault="00326D1C" w:rsidP="00E5175D">
      <w:r>
        <w:separator/>
      </w:r>
    </w:p>
  </w:footnote>
  <w:footnote w:type="continuationSeparator" w:id="0">
    <w:p w14:paraId="09659725" w14:textId="77777777" w:rsidR="00326D1C" w:rsidRDefault="00326D1C" w:rsidP="00E51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ABC13" w14:textId="77777777" w:rsidR="001A5FB4" w:rsidRPr="00D075ED" w:rsidRDefault="001A5FB4" w:rsidP="00A337EB">
    <w:pPr>
      <w:tabs>
        <w:tab w:val="left" w:pos="7426"/>
      </w:tabs>
      <w:contextualSpacing/>
      <w:mirrorIndents/>
      <w:jc w:val="both"/>
      <w:rPr>
        <w:sz w:val="20"/>
        <w:szCs w:val="20"/>
      </w:rPr>
    </w:pPr>
    <w:r w:rsidRPr="00D075ED">
      <w:rPr>
        <w:noProof/>
        <w:sz w:val="20"/>
        <w:szCs w:val="20"/>
      </w:rPr>
      <w:drawing>
        <wp:anchor distT="0" distB="0" distL="114300" distR="114300" simplePos="0" relativeHeight="251659264" behindDoc="0" locked="0" layoutInCell="1" allowOverlap="1" wp14:anchorId="44034ED0" wp14:editId="4DF35E19">
          <wp:simplePos x="0" y="0"/>
          <wp:positionH relativeFrom="column">
            <wp:posOffset>67945</wp:posOffset>
          </wp:positionH>
          <wp:positionV relativeFrom="paragraph">
            <wp:posOffset>0</wp:posOffset>
          </wp:positionV>
          <wp:extent cx="982345" cy="797560"/>
          <wp:effectExtent l="0" t="0" r="825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2345" cy="797560"/>
                  </a:xfrm>
                  <a:prstGeom prst="rect">
                    <a:avLst/>
                  </a:prstGeom>
                </pic:spPr>
              </pic:pic>
            </a:graphicData>
          </a:graphic>
        </wp:anchor>
      </w:drawing>
    </w:r>
  </w:p>
  <w:p w14:paraId="02BE1047" w14:textId="77777777" w:rsidR="001A5FB4" w:rsidRPr="00DF7356" w:rsidRDefault="001A5FB4" w:rsidP="00A337EB">
    <w:pPr>
      <w:tabs>
        <w:tab w:val="left" w:pos="7426"/>
      </w:tabs>
      <w:contextualSpacing/>
      <w:mirrorIndents/>
      <w:jc w:val="both"/>
      <w:rPr>
        <w:sz w:val="22"/>
        <w:szCs w:val="22"/>
      </w:rPr>
    </w:pPr>
    <w:r w:rsidRPr="00DF7356">
      <w:rPr>
        <w:sz w:val="22"/>
        <w:szCs w:val="22"/>
      </w:rPr>
      <w:t>Columbus Publishers</w:t>
    </w:r>
  </w:p>
  <w:p w14:paraId="50833282" w14:textId="77777777" w:rsidR="001A5FB4" w:rsidRPr="00DF7356" w:rsidRDefault="001A5FB4" w:rsidP="00A337EB">
    <w:pPr>
      <w:contextualSpacing/>
      <w:mirrorIndents/>
      <w:jc w:val="both"/>
      <w:rPr>
        <w:sz w:val="22"/>
        <w:szCs w:val="22"/>
      </w:rPr>
    </w:pPr>
    <w:r w:rsidRPr="00DF7356">
      <w:rPr>
        <w:sz w:val="22"/>
        <w:szCs w:val="22"/>
      </w:rPr>
      <w:t>International Journal of Surgery and Reports</w:t>
    </w:r>
  </w:p>
  <w:p w14:paraId="54358057" w14:textId="77777777" w:rsidR="001A5FB4" w:rsidRPr="00DF7356" w:rsidRDefault="001A5FB4" w:rsidP="00A337EB">
    <w:pPr>
      <w:contextualSpacing/>
      <w:mirrorIndents/>
      <w:jc w:val="both"/>
      <w:rPr>
        <w:sz w:val="22"/>
        <w:szCs w:val="22"/>
      </w:rPr>
    </w:pPr>
    <w:r w:rsidRPr="00DF7356">
      <w:rPr>
        <w:sz w:val="22"/>
        <w:szCs w:val="22"/>
      </w:rPr>
      <w:t>Volume 01: Issue 01</w:t>
    </w:r>
  </w:p>
  <w:p w14:paraId="6F4DD32D" w14:textId="22CBA1C5" w:rsidR="00DF7356" w:rsidRDefault="00D075ED" w:rsidP="00A337EB">
    <w:pPr>
      <w:contextualSpacing/>
      <w:mirrorIndents/>
      <w:jc w:val="both"/>
      <w:rPr>
        <w:sz w:val="20"/>
        <w:szCs w:val="20"/>
      </w:rPr>
    </w:pPr>
    <w:r w:rsidRPr="00DF7356">
      <w:rPr>
        <w:sz w:val="22"/>
        <w:szCs w:val="22"/>
      </w:rPr>
      <w:t>Ma IT, et al</w:t>
    </w:r>
    <w:r w:rsidR="001A5FB4" w:rsidRPr="00DF7356">
      <w:rPr>
        <w:sz w:val="22"/>
        <w:szCs w:val="22"/>
      </w:rPr>
      <w:t>.</w:t>
    </w:r>
    <w:r w:rsidR="00DF7356">
      <w:rPr>
        <w:sz w:val="20"/>
        <w:szCs w:val="20"/>
      </w:rPr>
      <w:t xml:space="preserve"> </w:t>
    </w:r>
  </w:p>
  <w:p w14:paraId="7909D4D6" w14:textId="77777777" w:rsidR="00DF7356" w:rsidRPr="00D075ED" w:rsidRDefault="00DF7356" w:rsidP="00A337EB">
    <w:pPr>
      <w:contextualSpacing/>
      <w:mirrorIndents/>
      <w:jc w:val="both"/>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2009"/>
    <w:multiLevelType w:val="hybridMultilevel"/>
    <w:tmpl w:val="5B648A7E"/>
    <w:lvl w:ilvl="0" w:tplc="8C3C4E60">
      <w:numFmt w:val="bullet"/>
      <w:lvlText w:val=""/>
      <w:lvlJc w:val="left"/>
      <w:pPr>
        <w:ind w:left="1223" w:hanging="351"/>
      </w:pPr>
      <w:rPr>
        <w:rFonts w:ascii="Symbol" w:eastAsia="Symbol" w:hAnsi="Symbol" w:cs="Symbol" w:hint="default"/>
        <w:w w:val="101"/>
        <w:sz w:val="23"/>
        <w:szCs w:val="23"/>
        <w:lang w:val="en-US" w:eastAsia="en-US" w:bidi="ar-SA"/>
      </w:rPr>
    </w:lvl>
    <w:lvl w:ilvl="1" w:tplc="24D6A7EA">
      <w:numFmt w:val="bullet"/>
      <w:lvlText w:val=""/>
      <w:lvlJc w:val="left"/>
      <w:pPr>
        <w:ind w:left="1223" w:hanging="187"/>
      </w:pPr>
      <w:rPr>
        <w:rFonts w:ascii="Symbol" w:eastAsia="Symbol" w:hAnsi="Symbol" w:cs="Symbol" w:hint="default"/>
        <w:w w:val="101"/>
        <w:sz w:val="23"/>
        <w:szCs w:val="23"/>
        <w:lang w:val="en-US" w:eastAsia="en-US" w:bidi="ar-SA"/>
      </w:rPr>
    </w:lvl>
    <w:lvl w:ilvl="2" w:tplc="5CBAE72A">
      <w:numFmt w:val="bullet"/>
      <w:lvlText w:val="•"/>
      <w:lvlJc w:val="left"/>
      <w:pPr>
        <w:ind w:left="3145" w:hanging="187"/>
      </w:pPr>
      <w:rPr>
        <w:rFonts w:hint="default"/>
        <w:lang w:val="en-US" w:eastAsia="en-US" w:bidi="ar-SA"/>
      </w:rPr>
    </w:lvl>
    <w:lvl w:ilvl="3" w:tplc="B30EC8AA">
      <w:numFmt w:val="bullet"/>
      <w:lvlText w:val="•"/>
      <w:lvlJc w:val="left"/>
      <w:pPr>
        <w:ind w:left="4107" w:hanging="187"/>
      </w:pPr>
      <w:rPr>
        <w:rFonts w:hint="default"/>
        <w:lang w:val="en-US" w:eastAsia="en-US" w:bidi="ar-SA"/>
      </w:rPr>
    </w:lvl>
    <w:lvl w:ilvl="4" w:tplc="CB68FE44">
      <w:numFmt w:val="bullet"/>
      <w:lvlText w:val="•"/>
      <w:lvlJc w:val="left"/>
      <w:pPr>
        <w:ind w:left="5070" w:hanging="187"/>
      </w:pPr>
      <w:rPr>
        <w:rFonts w:hint="default"/>
        <w:lang w:val="en-US" w:eastAsia="en-US" w:bidi="ar-SA"/>
      </w:rPr>
    </w:lvl>
    <w:lvl w:ilvl="5" w:tplc="2D08FBCE">
      <w:numFmt w:val="bullet"/>
      <w:lvlText w:val="•"/>
      <w:lvlJc w:val="left"/>
      <w:pPr>
        <w:ind w:left="6032" w:hanging="187"/>
      </w:pPr>
      <w:rPr>
        <w:rFonts w:hint="default"/>
        <w:lang w:val="en-US" w:eastAsia="en-US" w:bidi="ar-SA"/>
      </w:rPr>
    </w:lvl>
    <w:lvl w:ilvl="6" w:tplc="B15EF834">
      <w:numFmt w:val="bullet"/>
      <w:lvlText w:val="•"/>
      <w:lvlJc w:val="left"/>
      <w:pPr>
        <w:ind w:left="6995" w:hanging="187"/>
      </w:pPr>
      <w:rPr>
        <w:rFonts w:hint="default"/>
        <w:lang w:val="en-US" w:eastAsia="en-US" w:bidi="ar-SA"/>
      </w:rPr>
    </w:lvl>
    <w:lvl w:ilvl="7" w:tplc="6C4E4826">
      <w:numFmt w:val="bullet"/>
      <w:lvlText w:val="•"/>
      <w:lvlJc w:val="left"/>
      <w:pPr>
        <w:ind w:left="7957" w:hanging="187"/>
      </w:pPr>
      <w:rPr>
        <w:rFonts w:hint="default"/>
        <w:lang w:val="en-US" w:eastAsia="en-US" w:bidi="ar-SA"/>
      </w:rPr>
    </w:lvl>
    <w:lvl w:ilvl="8" w:tplc="531CC6A2">
      <w:numFmt w:val="bullet"/>
      <w:lvlText w:val="•"/>
      <w:lvlJc w:val="left"/>
      <w:pPr>
        <w:ind w:left="8920" w:hanging="187"/>
      </w:pPr>
      <w:rPr>
        <w:rFonts w:hint="default"/>
        <w:lang w:val="en-US" w:eastAsia="en-US" w:bidi="ar-SA"/>
      </w:rPr>
    </w:lvl>
  </w:abstractNum>
  <w:abstractNum w:abstractNumId="1" w15:restartNumberingAfterBreak="0">
    <w:nsid w:val="12BA2E34"/>
    <w:multiLevelType w:val="hybridMultilevel"/>
    <w:tmpl w:val="B9988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822E0"/>
    <w:multiLevelType w:val="hybridMultilevel"/>
    <w:tmpl w:val="703C145E"/>
    <w:lvl w:ilvl="0" w:tplc="DFE606A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7B21764"/>
    <w:multiLevelType w:val="hybridMultilevel"/>
    <w:tmpl w:val="B9988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210A54"/>
    <w:multiLevelType w:val="hybridMultilevel"/>
    <w:tmpl w:val="DDEADF0E"/>
    <w:lvl w:ilvl="0" w:tplc="DAF200B6">
      <w:start w:val="1"/>
      <w:numFmt w:val="decimal"/>
      <w:lvlText w:val="%1."/>
      <w:lvlJc w:val="left"/>
      <w:pPr>
        <w:ind w:left="408" w:hanging="295"/>
      </w:pPr>
      <w:rPr>
        <w:rFonts w:ascii="Arial" w:eastAsia="Arial" w:hAnsi="Arial" w:cs="Arial" w:hint="default"/>
        <w:spacing w:val="-20"/>
        <w:w w:val="94"/>
        <w:sz w:val="18"/>
        <w:szCs w:val="18"/>
        <w:lang w:val="en-US" w:eastAsia="en-US" w:bidi="ar-SA"/>
      </w:rPr>
    </w:lvl>
    <w:lvl w:ilvl="1" w:tplc="9BA809A4">
      <w:numFmt w:val="bullet"/>
      <w:lvlText w:val="•"/>
      <w:lvlJc w:val="left"/>
      <w:pPr>
        <w:ind w:left="1346" w:hanging="295"/>
      </w:pPr>
      <w:rPr>
        <w:rFonts w:hint="default"/>
        <w:lang w:val="en-US" w:eastAsia="en-US" w:bidi="ar-SA"/>
      </w:rPr>
    </w:lvl>
    <w:lvl w:ilvl="2" w:tplc="34342464">
      <w:numFmt w:val="bullet"/>
      <w:lvlText w:val="•"/>
      <w:lvlJc w:val="left"/>
      <w:pPr>
        <w:ind w:left="2293" w:hanging="295"/>
      </w:pPr>
      <w:rPr>
        <w:rFonts w:hint="default"/>
        <w:lang w:val="en-US" w:eastAsia="en-US" w:bidi="ar-SA"/>
      </w:rPr>
    </w:lvl>
    <w:lvl w:ilvl="3" w:tplc="582A970A">
      <w:numFmt w:val="bullet"/>
      <w:lvlText w:val="•"/>
      <w:lvlJc w:val="left"/>
      <w:pPr>
        <w:ind w:left="3239" w:hanging="295"/>
      </w:pPr>
      <w:rPr>
        <w:rFonts w:hint="default"/>
        <w:lang w:val="en-US" w:eastAsia="en-US" w:bidi="ar-SA"/>
      </w:rPr>
    </w:lvl>
    <w:lvl w:ilvl="4" w:tplc="C5563076">
      <w:numFmt w:val="bullet"/>
      <w:lvlText w:val="•"/>
      <w:lvlJc w:val="left"/>
      <w:pPr>
        <w:ind w:left="4186" w:hanging="295"/>
      </w:pPr>
      <w:rPr>
        <w:rFonts w:hint="default"/>
        <w:lang w:val="en-US" w:eastAsia="en-US" w:bidi="ar-SA"/>
      </w:rPr>
    </w:lvl>
    <w:lvl w:ilvl="5" w:tplc="9F54D4EC">
      <w:numFmt w:val="bullet"/>
      <w:lvlText w:val="•"/>
      <w:lvlJc w:val="left"/>
      <w:pPr>
        <w:ind w:left="5132" w:hanging="295"/>
      </w:pPr>
      <w:rPr>
        <w:rFonts w:hint="default"/>
        <w:lang w:val="en-US" w:eastAsia="en-US" w:bidi="ar-SA"/>
      </w:rPr>
    </w:lvl>
    <w:lvl w:ilvl="6" w:tplc="FA0C6BE6">
      <w:numFmt w:val="bullet"/>
      <w:lvlText w:val="•"/>
      <w:lvlJc w:val="left"/>
      <w:pPr>
        <w:ind w:left="6079" w:hanging="295"/>
      </w:pPr>
      <w:rPr>
        <w:rFonts w:hint="default"/>
        <w:lang w:val="en-US" w:eastAsia="en-US" w:bidi="ar-SA"/>
      </w:rPr>
    </w:lvl>
    <w:lvl w:ilvl="7" w:tplc="C3D09CBA">
      <w:numFmt w:val="bullet"/>
      <w:lvlText w:val="•"/>
      <w:lvlJc w:val="left"/>
      <w:pPr>
        <w:ind w:left="7025" w:hanging="295"/>
      </w:pPr>
      <w:rPr>
        <w:rFonts w:hint="default"/>
        <w:lang w:val="en-US" w:eastAsia="en-US" w:bidi="ar-SA"/>
      </w:rPr>
    </w:lvl>
    <w:lvl w:ilvl="8" w:tplc="28140158">
      <w:numFmt w:val="bullet"/>
      <w:lvlText w:val="•"/>
      <w:lvlJc w:val="left"/>
      <w:pPr>
        <w:ind w:left="7972" w:hanging="295"/>
      </w:pPr>
      <w:rPr>
        <w:rFonts w:hint="default"/>
        <w:lang w:val="en-US" w:eastAsia="en-US" w:bidi="ar-SA"/>
      </w:rPr>
    </w:lvl>
  </w:abstractNum>
  <w:abstractNum w:abstractNumId="5" w15:restartNumberingAfterBreak="0">
    <w:nsid w:val="5B187363"/>
    <w:multiLevelType w:val="hybridMultilevel"/>
    <w:tmpl w:val="E07485DC"/>
    <w:lvl w:ilvl="0" w:tplc="F09042AC">
      <w:start w:val="1"/>
      <w:numFmt w:val="decimal"/>
      <w:lvlText w:val="%1."/>
      <w:lvlJc w:val="left"/>
      <w:pPr>
        <w:ind w:left="523" w:hanging="415"/>
      </w:pPr>
      <w:rPr>
        <w:rFonts w:hint="default"/>
        <w:w w:val="101"/>
        <w:lang w:val="en-US" w:eastAsia="en-US" w:bidi="ar-SA"/>
      </w:rPr>
    </w:lvl>
    <w:lvl w:ilvl="1" w:tplc="246A778A">
      <w:numFmt w:val="bullet"/>
      <w:lvlText w:val="•"/>
      <w:lvlJc w:val="left"/>
      <w:pPr>
        <w:ind w:left="1552" w:hanging="415"/>
      </w:pPr>
      <w:rPr>
        <w:rFonts w:hint="default"/>
        <w:lang w:val="en-US" w:eastAsia="en-US" w:bidi="ar-SA"/>
      </w:rPr>
    </w:lvl>
    <w:lvl w:ilvl="2" w:tplc="7E4232DE">
      <w:numFmt w:val="bullet"/>
      <w:lvlText w:val="•"/>
      <w:lvlJc w:val="left"/>
      <w:pPr>
        <w:ind w:left="2585" w:hanging="415"/>
      </w:pPr>
      <w:rPr>
        <w:rFonts w:hint="default"/>
        <w:lang w:val="en-US" w:eastAsia="en-US" w:bidi="ar-SA"/>
      </w:rPr>
    </w:lvl>
    <w:lvl w:ilvl="3" w:tplc="B59483C0">
      <w:numFmt w:val="bullet"/>
      <w:lvlText w:val="•"/>
      <w:lvlJc w:val="left"/>
      <w:pPr>
        <w:ind w:left="3617" w:hanging="415"/>
      </w:pPr>
      <w:rPr>
        <w:rFonts w:hint="default"/>
        <w:lang w:val="en-US" w:eastAsia="en-US" w:bidi="ar-SA"/>
      </w:rPr>
    </w:lvl>
    <w:lvl w:ilvl="4" w:tplc="EDB606D0">
      <w:numFmt w:val="bullet"/>
      <w:lvlText w:val="•"/>
      <w:lvlJc w:val="left"/>
      <w:pPr>
        <w:ind w:left="4650" w:hanging="415"/>
      </w:pPr>
      <w:rPr>
        <w:rFonts w:hint="default"/>
        <w:lang w:val="en-US" w:eastAsia="en-US" w:bidi="ar-SA"/>
      </w:rPr>
    </w:lvl>
    <w:lvl w:ilvl="5" w:tplc="DAFCB762">
      <w:numFmt w:val="bullet"/>
      <w:lvlText w:val="•"/>
      <w:lvlJc w:val="left"/>
      <w:pPr>
        <w:ind w:left="5682" w:hanging="415"/>
      </w:pPr>
      <w:rPr>
        <w:rFonts w:hint="default"/>
        <w:lang w:val="en-US" w:eastAsia="en-US" w:bidi="ar-SA"/>
      </w:rPr>
    </w:lvl>
    <w:lvl w:ilvl="6" w:tplc="B8D08E5C">
      <w:numFmt w:val="bullet"/>
      <w:lvlText w:val="•"/>
      <w:lvlJc w:val="left"/>
      <w:pPr>
        <w:ind w:left="6715" w:hanging="415"/>
      </w:pPr>
      <w:rPr>
        <w:rFonts w:hint="default"/>
        <w:lang w:val="en-US" w:eastAsia="en-US" w:bidi="ar-SA"/>
      </w:rPr>
    </w:lvl>
    <w:lvl w:ilvl="7" w:tplc="03681C7A">
      <w:numFmt w:val="bullet"/>
      <w:lvlText w:val="•"/>
      <w:lvlJc w:val="left"/>
      <w:pPr>
        <w:ind w:left="7747" w:hanging="415"/>
      </w:pPr>
      <w:rPr>
        <w:rFonts w:hint="default"/>
        <w:lang w:val="en-US" w:eastAsia="en-US" w:bidi="ar-SA"/>
      </w:rPr>
    </w:lvl>
    <w:lvl w:ilvl="8" w:tplc="CC686936">
      <w:numFmt w:val="bullet"/>
      <w:lvlText w:val="•"/>
      <w:lvlJc w:val="left"/>
      <w:pPr>
        <w:ind w:left="8780" w:hanging="415"/>
      </w:pPr>
      <w:rPr>
        <w:rFonts w:hint="default"/>
        <w:lang w:val="en-US" w:eastAsia="en-US" w:bidi="ar-SA"/>
      </w:rPr>
    </w:lvl>
  </w:abstractNum>
  <w:abstractNum w:abstractNumId="6" w15:restartNumberingAfterBreak="0">
    <w:nsid w:val="5D456559"/>
    <w:multiLevelType w:val="hybridMultilevel"/>
    <w:tmpl w:val="4A701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987F6E"/>
    <w:multiLevelType w:val="hybridMultilevel"/>
    <w:tmpl w:val="8DCE9E62"/>
    <w:lvl w:ilvl="0" w:tplc="9B28CABE">
      <w:start w:val="1"/>
      <w:numFmt w:val="decimal"/>
      <w:lvlText w:val="%1."/>
      <w:lvlJc w:val="left"/>
      <w:pPr>
        <w:ind w:left="54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0"/>
  </w:num>
  <w:num w:numId="5">
    <w:abstractNumId w:val="5"/>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es-419" w:vendorID="64" w:dllVersion="6" w:nlCheck="1" w:checkStyle="0"/>
  <w:activeWritingStyle w:appName="MSWord" w:lang="en-US"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E5B"/>
    <w:rsid w:val="00003F8B"/>
    <w:rsid w:val="000041EE"/>
    <w:rsid w:val="00022900"/>
    <w:rsid w:val="00034B7B"/>
    <w:rsid w:val="00045F1A"/>
    <w:rsid w:val="00054E65"/>
    <w:rsid w:val="00061031"/>
    <w:rsid w:val="00065A5B"/>
    <w:rsid w:val="000661B6"/>
    <w:rsid w:val="000803B8"/>
    <w:rsid w:val="00093E90"/>
    <w:rsid w:val="000D0EC4"/>
    <w:rsid w:val="000D5D36"/>
    <w:rsid w:val="000E5F9A"/>
    <w:rsid w:val="0010433B"/>
    <w:rsid w:val="00106013"/>
    <w:rsid w:val="0013084A"/>
    <w:rsid w:val="00132723"/>
    <w:rsid w:val="0014780F"/>
    <w:rsid w:val="00162ABF"/>
    <w:rsid w:val="00164931"/>
    <w:rsid w:val="00176177"/>
    <w:rsid w:val="0018470E"/>
    <w:rsid w:val="001962A0"/>
    <w:rsid w:val="001A5FB4"/>
    <w:rsid w:val="001B3505"/>
    <w:rsid w:val="001E0B4A"/>
    <w:rsid w:val="001E29E0"/>
    <w:rsid w:val="001F0ADC"/>
    <w:rsid w:val="001F4EF6"/>
    <w:rsid w:val="0020706D"/>
    <w:rsid w:val="0022114E"/>
    <w:rsid w:val="00224112"/>
    <w:rsid w:val="00230E38"/>
    <w:rsid w:val="00241C2D"/>
    <w:rsid w:val="002467A5"/>
    <w:rsid w:val="0025693B"/>
    <w:rsid w:val="00257B88"/>
    <w:rsid w:val="002644A0"/>
    <w:rsid w:val="00283786"/>
    <w:rsid w:val="00294A6E"/>
    <w:rsid w:val="002B0D3F"/>
    <w:rsid w:val="002B0EE0"/>
    <w:rsid w:val="002C7B1A"/>
    <w:rsid w:val="002D7879"/>
    <w:rsid w:val="002E66BC"/>
    <w:rsid w:val="002E6B72"/>
    <w:rsid w:val="002F2F53"/>
    <w:rsid w:val="00303E0D"/>
    <w:rsid w:val="003215F8"/>
    <w:rsid w:val="00326D1C"/>
    <w:rsid w:val="0034754A"/>
    <w:rsid w:val="00351A58"/>
    <w:rsid w:val="003570F1"/>
    <w:rsid w:val="0036272A"/>
    <w:rsid w:val="0038687C"/>
    <w:rsid w:val="00393731"/>
    <w:rsid w:val="003A4189"/>
    <w:rsid w:val="003A6D97"/>
    <w:rsid w:val="003B399A"/>
    <w:rsid w:val="003C5B09"/>
    <w:rsid w:val="003D2D9C"/>
    <w:rsid w:val="00410023"/>
    <w:rsid w:val="004120C6"/>
    <w:rsid w:val="00426719"/>
    <w:rsid w:val="00467634"/>
    <w:rsid w:val="004804D1"/>
    <w:rsid w:val="004A0746"/>
    <w:rsid w:val="004A2CF6"/>
    <w:rsid w:val="004B0E1D"/>
    <w:rsid w:val="004B66F9"/>
    <w:rsid w:val="004D1ABD"/>
    <w:rsid w:val="004D6C32"/>
    <w:rsid w:val="004F67D5"/>
    <w:rsid w:val="005048C6"/>
    <w:rsid w:val="005210BE"/>
    <w:rsid w:val="00531120"/>
    <w:rsid w:val="00534DD9"/>
    <w:rsid w:val="00537E5B"/>
    <w:rsid w:val="00545054"/>
    <w:rsid w:val="005505FD"/>
    <w:rsid w:val="00555016"/>
    <w:rsid w:val="00555CB1"/>
    <w:rsid w:val="0056163D"/>
    <w:rsid w:val="00586F9D"/>
    <w:rsid w:val="00593882"/>
    <w:rsid w:val="005975E0"/>
    <w:rsid w:val="005A6302"/>
    <w:rsid w:val="005B3A43"/>
    <w:rsid w:val="005C1BC5"/>
    <w:rsid w:val="005C246B"/>
    <w:rsid w:val="005C3AB5"/>
    <w:rsid w:val="005C726E"/>
    <w:rsid w:val="005F286C"/>
    <w:rsid w:val="00602511"/>
    <w:rsid w:val="00602A43"/>
    <w:rsid w:val="00604502"/>
    <w:rsid w:val="00605A1D"/>
    <w:rsid w:val="006213B1"/>
    <w:rsid w:val="0062282F"/>
    <w:rsid w:val="00642C61"/>
    <w:rsid w:val="00645965"/>
    <w:rsid w:val="00670054"/>
    <w:rsid w:val="006724EC"/>
    <w:rsid w:val="00690D83"/>
    <w:rsid w:val="006927A9"/>
    <w:rsid w:val="006B13C9"/>
    <w:rsid w:val="006B746A"/>
    <w:rsid w:val="006C17AB"/>
    <w:rsid w:val="006D69BB"/>
    <w:rsid w:val="006D773C"/>
    <w:rsid w:val="00705CE9"/>
    <w:rsid w:val="007338B3"/>
    <w:rsid w:val="007355C2"/>
    <w:rsid w:val="007560EF"/>
    <w:rsid w:val="00766073"/>
    <w:rsid w:val="00776313"/>
    <w:rsid w:val="00782121"/>
    <w:rsid w:val="00794D01"/>
    <w:rsid w:val="007A43A4"/>
    <w:rsid w:val="007A57A0"/>
    <w:rsid w:val="007A5D65"/>
    <w:rsid w:val="007B60D4"/>
    <w:rsid w:val="007C7A54"/>
    <w:rsid w:val="007D61D7"/>
    <w:rsid w:val="007E0609"/>
    <w:rsid w:val="007F7568"/>
    <w:rsid w:val="00813721"/>
    <w:rsid w:val="00814DBC"/>
    <w:rsid w:val="00850B3F"/>
    <w:rsid w:val="008550B9"/>
    <w:rsid w:val="008647EC"/>
    <w:rsid w:val="00877C82"/>
    <w:rsid w:val="0088324E"/>
    <w:rsid w:val="008A2409"/>
    <w:rsid w:val="008A78C3"/>
    <w:rsid w:val="008B1C15"/>
    <w:rsid w:val="008C7E62"/>
    <w:rsid w:val="008D28F7"/>
    <w:rsid w:val="00906A87"/>
    <w:rsid w:val="00913FBD"/>
    <w:rsid w:val="00920E70"/>
    <w:rsid w:val="0092592E"/>
    <w:rsid w:val="00936ED1"/>
    <w:rsid w:val="00947C38"/>
    <w:rsid w:val="009547C8"/>
    <w:rsid w:val="00966321"/>
    <w:rsid w:val="009663A5"/>
    <w:rsid w:val="009829ED"/>
    <w:rsid w:val="009A17C6"/>
    <w:rsid w:val="009C5721"/>
    <w:rsid w:val="009C6510"/>
    <w:rsid w:val="009E4496"/>
    <w:rsid w:val="00A10AFD"/>
    <w:rsid w:val="00A15529"/>
    <w:rsid w:val="00A337EB"/>
    <w:rsid w:val="00A43347"/>
    <w:rsid w:val="00A90A51"/>
    <w:rsid w:val="00A93276"/>
    <w:rsid w:val="00A977F1"/>
    <w:rsid w:val="00AA3577"/>
    <w:rsid w:val="00AA450E"/>
    <w:rsid w:val="00AA54BD"/>
    <w:rsid w:val="00AA55E5"/>
    <w:rsid w:val="00AC0675"/>
    <w:rsid w:val="00AC371F"/>
    <w:rsid w:val="00AC5EB4"/>
    <w:rsid w:val="00AD45BD"/>
    <w:rsid w:val="00AD78AF"/>
    <w:rsid w:val="00B10C72"/>
    <w:rsid w:val="00B16926"/>
    <w:rsid w:val="00B16955"/>
    <w:rsid w:val="00B331B4"/>
    <w:rsid w:val="00B44B9A"/>
    <w:rsid w:val="00B5581A"/>
    <w:rsid w:val="00B70DAC"/>
    <w:rsid w:val="00B80CAC"/>
    <w:rsid w:val="00B959BD"/>
    <w:rsid w:val="00BA5BE7"/>
    <w:rsid w:val="00BB4C05"/>
    <w:rsid w:val="00BB5FF1"/>
    <w:rsid w:val="00BE7183"/>
    <w:rsid w:val="00BF1E82"/>
    <w:rsid w:val="00C004E9"/>
    <w:rsid w:val="00C0605F"/>
    <w:rsid w:val="00C06F3B"/>
    <w:rsid w:val="00C14325"/>
    <w:rsid w:val="00C25960"/>
    <w:rsid w:val="00C311B6"/>
    <w:rsid w:val="00C34DE5"/>
    <w:rsid w:val="00C50309"/>
    <w:rsid w:val="00C56380"/>
    <w:rsid w:val="00C626CA"/>
    <w:rsid w:val="00C77C56"/>
    <w:rsid w:val="00C87C69"/>
    <w:rsid w:val="00C9512E"/>
    <w:rsid w:val="00CC5FE7"/>
    <w:rsid w:val="00CF14E8"/>
    <w:rsid w:val="00D01E3A"/>
    <w:rsid w:val="00D03963"/>
    <w:rsid w:val="00D044A1"/>
    <w:rsid w:val="00D075ED"/>
    <w:rsid w:val="00D121B0"/>
    <w:rsid w:val="00D16DB6"/>
    <w:rsid w:val="00D308BB"/>
    <w:rsid w:val="00D335E0"/>
    <w:rsid w:val="00D34BAC"/>
    <w:rsid w:val="00D47501"/>
    <w:rsid w:val="00D52D52"/>
    <w:rsid w:val="00D55D58"/>
    <w:rsid w:val="00D57C1C"/>
    <w:rsid w:val="00D85609"/>
    <w:rsid w:val="00D85FDB"/>
    <w:rsid w:val="00D863FC"/>
    <w:rsid w:val="00D90C14"/>
    <w:rsid w:val="00DA5E9B"/>
    <w:rsid w:val="00DB6F37"/>
    <w:rsid w:val="00DE354B"/>
    <w:rsid w:val="00DF6CD5"/>
    <w:rsid w:val="00DF7356"/>
    <w:rsid w:val="00E036F6"/>
    <w:rsid w:val="00E176C5"/>
    <w:rsid w:val="00E20491"/>
    <w:rsid w:val="00E20738"/>
    <w:rsid w:val="00E25FE8"/>
    <w:rsid w:val="00E3441F"/>
    <w:rsid w:val="00E5175D"/>
    <w:rsid w:val="00E53F26"/>
    <w:rsid w:val="00E56384"/>
    <w:rsid w:val="00E56525"/>
    <w:rsid w:val="00E70C32"/>
    <w:rsid w:val="00E838F1"/>
    <w:rsid w:val="00EA3FD1"/>
    <w:rsid w:val="00EA5FD7"/>
    <w:rsid w:val="00EA7175"/>
    <w:rsid w:val="00ED0087"/>
    <w:rsid w:val="00ED35CA"/>
    <w:rsid w:val="00ED7442"/>
    <w:rsid w:val="00EE76BD"/>
    <w:rsid w:val="00EF0B9A"/>
    <w:rsid w:val="00F05645"/>
    <w:rsid w:val="00F114C7"/>
    <w:rsid w:val="00F177E9"/>
    <w:rsid w:val="00F21BA9"/>
    <w:rsid w:val="00F23216"/>
    <w:rsid w:val="00F366A9"/>
    <w:rsid w:val="00F43014"/>
    <w:rsid w:val="00F5230E"/>
    <w:rsid w:val="00F770E1"/>
    <w:rsid w:val="00F96683"/>
    <w:rsid w:val="00FA2A16"/>
    <w:rsid w:val="00FA6644"/>
    <w:rsid w:val="00FB7A89"/>
    <w:rsid w:val="00FC2345"/>
    <w:rsid w:val="00FC2B88"/>
    <w:rsid w:val="00FC3E20"/>
    <w:rsid w:val="00FF0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B9093"/>
  <w15:chartTrackingRefBased/>
  <w15:docId w15:val="{163B6A5A-0838-4D12-8AC5-F9932D446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9E0"/>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034B7B"/>
    <w:pPr>
      <w:widowControl w:val="0"/>
      <w:autoSpaceDE w:val="0"/>
      <w:autoSpaceDN w:val="0"/>
      <w:ind w:left="523"/>
      <w:outlineLvl w:val="0"/>
    </w:pPr>
    <w:rPr>
      <w:rFonts w:ascii="Carlito" w:eastAsia="Carlito" w:hAnsi="Carlito" w:cs="Carlito"/>
      <w:b/>
      <w:bCs/>
      <w:sz w:val="31"/>
      <w:szCs w:val="31"/>
    </w:rPr>
  </w:style>
  <w:style w:type="paragraph" w:styleId="Heading2">
    <w:name w:val="heading 2"/>
    <w:basedOn w:val="Normal"/>
    <w:link w:val="Heading2Char"/>
    <w:uiPriority w:val="1"/>
    <w:qFormat/>
    <w:rsid w:val="00034B7B"/>
    <w:pPr>
      <w:widowControl w:val="0"/>
      <w:autoSpaceDE w:val="0"/>
      <w:autoSpaceDN w:val="0"/>
      <w:ind w:left="523"/>
      <w:jc w:val="center"/>
      <w:outlineLvl w:val="1"/>
    </w:pPr>
    <w:rPr>
      <w:rFonts w:ascii="Carlito" w:eastAsia="Carlito" w:hAnsi="Carlito" w:cs="Carlito"/>
      <w:b/>
      <w:bCs/>
      <w:sz w:val="27"/>
      <w:szCs w:val="27"/>
    </w:rPr>
  </w:style>
  <w:style w:type="paragraph" w:styleId="Heading3">
    <w:name w:val="heading 3"/>
    <w:basedOn w:val="Normal"/>
    <w:link w:val="Heading3Char"/>
    <w:uiPriority w:val="1"/>
    <w:qFormat/>
    <w:rsid w:val="00034B7B"/>
    <w:pPr>
      <w:widowControl w:val="0"/>
      <w:autoSpaceDE w:val="0"/>
      <w:autoSpaceDN w:val="0"/>
      <w:ind w:left="523"/>
      <w:outlineLvl w:val="2"/>
    </w:pPr>
    <w:rPr>
      <w:rFonts w:ascii="Carlito" w:eastAsia="Carlito" w:hAnsi="Carlito" w:cs="Carlito"/>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9E0"/>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1E29E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E29E0"/>
  </w:style>
  <w:style w:type="character" w:styleId="CommentReference">
    <w:name w:val="annotation reference"/>
    <w:basedOn w:val="DefaultParagraphFont"/>
    <w:uiPriority w:val="99"/>
    <w:semiHidden/>
    <w:unhideWhenUsed/>
    <w:rsid w:val="001E29E0"/>
    <w:rPr>
      <w:sz w:val="16"/>
      <w:szCs w:val="16"/>
    </w:rPr>
  </w:style>
  <w:style w:type="paragraph" w:styleId="CommentText">
    <w:name w:val="annotation text"/>
    <w:basedOn w:val="Normal"/>
    <w:link w:val="CommentTextChar"/>
    <w:uiPriority w:val="99"/>
    <w:unhideWhenUsed/>
    <w:rsid w:val="001E29E0"/>
    <w:rPr>
      <w:sz w:val="20"/>
      <w:szCs w:val="20"/>
    </w:rPr>
  </w:style>
  <w:style w:type="character" w:customStyle="1" w:styleId="CommentTextChar">
    <w:name w:val="Comment Text Char"/>
    <w:basedOn w:val="DefaultParagraphFont"/>
    <w:link w:val="CommentText"/>
    <w:uiPriority w:val="99"/>
    <w:rsid w:val="001E29E0"/>
    <w:rPr>
      <w:rFonts w:ascii="Times New Roman" w:eastAsia="Times New Roman" w:hAnsi="Times New Roman" w:cs="Times New Roman"/>
      <w:sz w:val="20"/>
      <w:szCs w:val="20"/>
    </w:rPr>
  </w:style>
  <w:style w:type="table" w:customStyle="1" w:styleId="TableGrid1">
    <w:name w:val="Table Grid1"/>
    <w:basedOn w:val="TableNormal"/>
    <w:next w:val="TableGrid"/>
    <w:uiPriority w:val="39"/>
    <w:rsid w:val="001E29E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29E0"/>
    <w:rPr>
      <w:color w:val="0000FF" w:themeColor="hyperlink"/>
      <w:u w:val="single"/>
    </w:rPr>
  </w:style>
  <w:style w:type="table" w:styleId="TableGrid">
    <w:name w:val="Table Grid"/>
    <w:basedOn w:val="TableNormal"/>
    <w:uiPriority w:val="39"/>
    <w:rsid w:val="001E2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29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9E0"/>
    <w:rPr>
      <w:rFonts w:ascii="Segoe UI" w:eastAsia="Times New Roman" w:hAnsi="Segoe UI" w:cs="Segoe UI"/>
      <w:sz w:val="18"/>
      <w:szCs w:val="18"/>
    </w:rPr>
  </w:style>
  <w:style w:type="paragraph" w:styleId="Footer">
    <w:name w:val="footer"/>
    <w:basedOn w:val="Normal"/>
    <w:link w:val="FooterChar"/>
    <w:uiPriority w:val="99"/>
    <w:unhideWhenUsed/>
    <w:rsid w:val="00E5175D"/>
    <w:pPr>
      <w:tabs>
        <w:tab w:val="center" w:pos="4680"/>
        <w:tab w:val="right" w:pos="9360"/>
      </w:tabs>
    </w:pPr>
  </w:style>
  <w:style w:type="character" w:customStyle="1" w:styleId="FooterChar">
    <w:name w:val="Footer Char"/>
    <w:basedOn w:val="DefaultParagraphFont"/>
    <w:link w:val="Footer"/>
    <w:uiPriority w:val="99"/>
    <w:rsid w:val="00E5175D"/>
    <w:rPr>
      <w:rFonts w:ascii="Times New Roman" w:eastAsia="Times New Roman" w:hAnsi="Times New Roman" w:cs="Times New Roman"/>
      <w:sz w:val="24"/>
      <w:szCs w:val="24"/>
    </w:rPr>
  </w:style>
  <w:style w:type="paragraph" w:styleId="NormalWeb">
    <w:name w:val="Normal (Web)"/>
    <w:basedOn w:val="Normal"/>
    <w:uiPriority w:val="99"/>
    <w:semiHidden/>
    <w:unhideWhenUsed/>
    <w:rsid w:val="00645965"/>
    <w:rPr>
      <w:rFonts w:eastAsiaTheme="minorHAnsi"/>
    </w:rPr>
  </w:style>
  <w:style w:type="paragraph" w:styleId="Bibliography">
    <w:name w:val="Bibliography"/>
    <w:basedOn w:val="Normal"/>
    <w:next w:val="Normal"/>
    <w:uiPriority w:val="37"/>
    <w:unhideWhenUsed/>
    <w:rsid w:val="00F114C7"/>
  </w:style>
  <w:style w:type="character" w:customStyle="1" w:styleId="citation-doi">
    <w:name w:val="citation-doi"/>
    <w:basedOn w:val="DefaultParagraphFont"/>
    <w:qFormat/>
    <w:rsid w:val="00F114C7"/>
  </w:style>
  <w:style w:type="character" w:customStyle="1" w:styleId="EnlacedeInternet">
    <w:name w:val="Enlace de Internet"/>
    <w:basedOn w:val="DefaultParagraphFont"/>
    <w:uiPriority w:val="99"/>
    <w:unhideWhenUsed/>
    <w:rsid w:val="00F114C7"/>
    <w:rPr>
      <w:color w:val="0000FF" w:themeColor="hyperlink"/>
      <w:u w:val="single"/>
    </w:rPr>
  </w:style>
  <w:style w:type="character" w:customStyle="1" w:styleId="DefaultCar">
    <w:name w:val="Default Car"/>
    <w:basedOn w:val="DefaultParagraphFont"/>
    <w:link w:val="Default"/>
    <w:qFormat/>
    <w:rsid w:val="00F114C7"/>
    <w:rPr>
      <w:rFonts w:ascii="Times New Roman" w:hAnsi="Times New Roman" w:cs="Times New Roman"/>
      <w:color w:val="000000"/>
    </w:rPr>
  </w:style>
  <w:style w:type="paragraph" w:customStyle="1" w:styleId="Default">
    <w:name w:val="Default"/>
    <w:link w:val="DefaultCar"/>
    <w:qFormat/>
    <w:rsid w:val="00F114C7"/>
    <w:pPr>
      <w:widowControl w:val="0"/>
      <w:spacing w:after="0" w:line="240" w:lineRule="auto"/>
    </w:pPr>
    <w:rPr>
      <w:rFonts w:ascii="Times New Roman" w:hAnsi="Times New Roman" w:cs="Times New Roman"/>
      <w:color w:val="000000"/>
    </w:rPr>
  </w:style>
  <w:style w:type="paragraph" w:customStyle="1" w:styleId="western">
    <w:name w:val="western"/>
    <w:basedOn w:val="Normal"/>
    <w:rsid w:val="00F114C7"/>
    <w:pPr>
      <w:spacing w:before="100" w:beforeAutospacing="1" w:after="119" w:line="102" w:lineRule="atLeast"/>
    </w:pPr>
    <w:rPr>
      <w:rFonts w:ascii="Arial" w:hAnsi="Arial" w:cs="Arial"/>
      <w:lang w:val="es-CO" w:eastAsia="zh-CN"/>
    </w:rPr>
  </w:style>
  <w:style w:type="character" w:styleId="PageNumber">
    <w:name w:val="page number"/>
    <w:basedOn w:val="DefaultParagraphFont"/>
    <w:uiPriority w:val="99"/>
    <w:semiHidden/>
    <w:unhideWhenUsed/>
    <w:rsid w:val="009663A5"/>
  </w:style>
  <w:style w:type="paragraph" w:styleId="HTMLPreformatted">
    <w:name w:val="HTML Preformatted"/>
    <w:basedOn w:val="Normal"/>
    <w:link w:val="HTMLPreformattedChar"/>
    <w:uiPriority w:val="99"/>
    <w:unhideWhenUsed/>
    <w:rsid w:val="00FC2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480" w:lineRule="auto"/>
    </w:pPr>
    <w:rPr>
      <w:rFonts w:ascii="Courier New" w:hAnsi="Courier New" w:cs="Courier New"/>
      <w:sz w:val="20"/>
      <w:szCs w:val="20"/>
      <w:lang w:val="es-ES_tradnl" w:eastAsia="en-GB"/>
    </w:rPr>
  </w:style>
  <w:style w:type="character" w:customStyle="1" w:styleId="HTMLPreformattedChar">
    <w:name w:val="HTML Preformatted Char"/>
    <w:basedOn w:val="DefaultParagraphFont"/>
    <w:link w:val="HTMLPreformatted"/>
    <w:uiPriority w:val="99"/>
    <w:rsid w:val="00FC2B88"/>
    <w:rPr>
      <w:rFonts w:ascii="Courier New" w:eastAsia="Times New Roman" w:hAnsi="Courier New" w:cs="Courier New"/>
      <w:sz w:val="20"/>
      <w:szCs w:val="20"/>
      <w:lang w:val="es-ES_tradnl" w:eastAsia="en-GB"/>
    </w:rPr>
  </w:style>
  <w:style w:type="character" w:customStyle="1" w:styleId="Heading1Char">
    <w:name w:val="Heading 1 Char"/>
    <w:basedOn w:val="DefaultParagraphFont"/>
    <w:link w:val="Heading1"/>
    <w:uiPriority w:val="1"/>
    <w:rsid w:val="00034B7B"/>
    <w:rPr>
      <w:rFonts w:ascii="Carlito" w:eastAsia="Carlito" w:hAnsi="Carlito" w:cs="Carlito"/>
      <w:b/>
      <w:bCs/>
      <w:sz w:val="31"/>
      <w:szCs w:val="31"/>
    </w:rPr>
  </w:style>
  <w:style w:type="character" w:customStyle="1" w:styleId="Heading2Char">
    <w:name w:val="Heading 2 Char"/>
    <w:basedOn w:val="DefaultParagraphFont"/>
    <w:link w:val="Heading2"/>
    <w:uiPriority w:val="1"/>
    <w:rsid w:val="00034B7B"/>
    <w:rPr>
      <w:rFonts w:ascii="Carlito" w:eastAsia="Carlito" w:hAnsi="Carlito" w:cs="Carlito"/>
      <w:b/>
      <w:bCs/>
      <w:sz w:val="27"/>
      <w:szCs w:val="27"/>
    </w:rPr>
  </w:style>
  <w:style w:type="character" w:customStyle="1" w:styleId="Heading3Char">
    <w:name w:val="Heading 3 Char"/>
    <w:basedOn w:val="DefaultParagraphFont"/>
    <w:link w:val="Heading3"/>
    <w:uiPriority w:val="1"/>
    <w:rsid w:val="00034B7B"/>
    <w:rPr>
      <w:rFonts w:ascii="Carlito" w:eastAsia="Carlito" w:hAnsi="Carlito" w:cs="Carlito"/>
      <w:b/>
      <w:bCs/>
      <w:sz w:val="23"/>
      <w:szCs w:val="23"/>
    </w:rPr>
  </w:style>
  <w:style w:type="paragraph" w:styleId="BodyText">
    <w:name w:val="Body Text"/>
    <w:basedOn w:val="Normal"/>
    <w:link w:val="BodyTextChar"/>
    <w:uiPriority w:val="1"/>
    <w:qFormat/>
    <w:rsid w:val="00034B7B"/>
    <w:pPr>
      <w:widowControl w:val="0"/>
      <w:autoSpaceDE w:val="0"/>
      <w:autoSpaceDN w:val="0"/>
    </w:pPr>
    <w:rPr>
      <w:rFonts w:ascii="Carlito" w:eastAsia="Carlito" w:hAnsi="Carlito" w:cs="Carlito"/>
      <w:sz w:val="23"/>
      <w:szCs w:val="23"/>
    </w:rPr>
  </w:style>
  <w:style w:type="character" w:customStyle="1" w:styleId="BodyTextChar">
    <w:name w:val="Body Text Char"/>
    <w:basedOn w:val="DefaultParagraphFont"/>
    <w:link w:val="BodyText"/>
    <w:uiPriority w:val="1"/>
    <w:rsid w:val="00034B7B"/>
    <w:rPr>
      <w:rFonts w:ascii="Carlito" w:eastAsia="Carlito" w:hAnsi="Carlito" w:cs="Carlito"/>
      <w:sz w:val="23"/>
      <w:szCs w:val="23"/>
    </w:rPr>
  </w:style>
  <w:style w:type="paragraph" w:styleId="Title">
    <w:name w:val="Title"/>
    <w:basedOn w:val="Normal"/>
    <w:link w:val="TitleChar"/>
    <w:uiPriority w:val="1"/>
    <w:qFormat/>
    <w:rsid w:val="00034B7B"/>
    <w:pPr>
      <w:widowControl w:val="0"/>
      <w:autoSpaceDE w:val="0"/>
      <w:autoSpaceDN w:val="0"/>
      <w:ind w:left="798" w:right="985"/>
      <w:jc w:val="center"/>
    </w:pPr>
    <w:rPr>
      <w:rFonts w:ascii="Carlito" w:eastAsia="Carlito" w:hAnsi="Carlito" w:cs="Carlito"/>
      <w:b/>
      <w:bCs/>
      <w:sz w:val="35"/>
      <w:szCs w:val="35"/>
    </w:rPr>
  </w:style>
  <w:style w:type="character" w:customStyle="1" w:styleId="TitleChar">
    <w:name w:val="Title Char"/>
    <w:basedOn w:val="DefaultParagraphFont"/>
    <w:link w:val="Title"/>
    <w:uiPriority w:val="1"/>
    <w:rsid w:val="00034B7B"/>
    <w:rPr>
      <w:rFonts w:ascii="Carlito" w:eastAsia="Carlito" w:hAnsi="Carlito" w:cs="Carlito"/>
      <w:b/>
      <w:bCs/>
      <w:sz w:val="35"/>
      <w:szCs w:val="35"/>
    </w:rPr>
  </w:style>
  <w:style w:type="paragraph" w:customStyle="1" w:styleId="TableParagraph">
    <w:name w:val="Table Paragraph"/>
    <w:basedOn w:val="Normal"/>
    <w:uiPriority w:val="1"/>
    <w:qFormat/>
    <w:rsid w:val="00034B7B"/>
    <w:pPr>
      <w:widowControl w:val="0"/>
      <w:autoSpaceDE w:val="0"/>
      <w:autoSpaceDN w:val="0"/>
      <w:ind w:left="102"/>
    </w:pPr>
    <w:rPr>
      <w:rFonts w:ascii="Carlito" w:eastAsia="Carlito" w:hAnsi="Carlito" w:cs="Carli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pubmed.ncbi.nlm.nih.gov/27380294/" TargetMode="External"/><Relationship Id="rId3" Type="http://schemas.openxmlformats.org/officeDocument/2006/relationships/styles" Target="styles.xml"/><Relationship Id="rId21" Type="http://schemas.openxmlformats.org/officeDocument/2006/relationships/hyperlink" Target="https://pubmed.ncbi.nlm.nih.gov/1272331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ubmed.ncbi.nlm.nih.gov/1287785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ubmed.ncbi.nlm.nih.gov/12132081/" TargetMode="External"/><Relationship Id="rId20" Type="http://schemas.openxmlformats.org/officeDocument/2006/relationships/hyperlink" Target="https://pubmed.ncbi.nlm.nih.gov/310411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ubmed.ncbi.nlm.nih.gov/30799962/"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pubmed.ncbi.nlm.nih.gov/2694743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ubmed.ncbi.nlm.nih.gov/29779840/" TargetMode="External"/><Relationship Id="rId22" Type="http://schemas.openxmlformats.org/officeDocument/2006/relationships/hyperlink" Target="https://pubmed.ncbi.nlm.nih.gov/39789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D80E7-22D7-455B-9EF7-06327D3FE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2238</Words>
  <Characters>12757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128</cp:revision>
  <dcterms:created xsi:type="dcterms:W3CDTF">2021-07-21T14:10:00Z</dcterms:created>
  <dcterms:modified xsi:type="dcterms:W3CDTF">2021-09-11T17:14:00Z</dcterms:modified>
</cp:coreProperties>
</file>