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9B" w:rsidRPr="00D978DC" w:rsidRDefault="00CD08E6" w:rsidP="00A304D7">
      <w:pPr>
        <w:contextualSpacing/>
        <w:mirrorIndents/>
        <w:jc w:val="both"/>
        <w:rPr>
          <w:b/>
          <w:sz w:val="22"/>
          <w:szCs w:val="22"/>
        </w:rPr>
      </w:pPr>
      <w:bookmarkStart w:id="0" w:name="_Hlk494020808"/>
      <w:r>
        <w:rPr>
          <w:b/>
          <w:sz w:val="22"/>
          <w:szCs w:val="22"/>
        </w:rPr>
        <w:t>`</w:t>
      </w:r>
      <w:r w:rsidR="006E5D9B" w:rsidRPr="00D978DC">
        <w:rPr>
          <w:b/>
          <w:sz w:val="22"/>
          <w:szCs w:val="22"/>
        </w:rPr>
        <w:t>Research Article</w:t>
      </w:r>
    </w:p>
    <w:p w:rsidR="006E5D9B" w:rsidRPr="00D978DC" w:rsidRDefault="006E5D9B" w:rsidP="00A304D7">
      <w:pPr>
        <w:contextualSpacing/>
        <w:mirrorIndents/>
        <w:jc w:val="both"/>
        <w:rPr>
          <w:sz w:val="20"/>
          <w:szCs w:val="20"/>
        </w:rPr>
      </w:pPr>
    </w:p>
    <w:p w:rsidR="00D978DC" w:rsidRPr="00D978DC" w:rsidRDefault="00D978DC" w:rsidP="00D978DC">
      <w:pPr>
        <w:contextualSpacing/>
        <w:mirrorIndents/>
        <w:jc w:val="center"/>
        <w:rPr>
          <w:b/>
          <w:sz w:val="30"/>
          <w:szCs w:val="30"/>
        </w:rPr>
      </w:pPr>
      <w:r w:rsidRPr="00D978DC">
        <w:rPr>
          <w:b/>
          <w:sz w:val="30"/>
          <w:szCs w:val="30"/>
        </w:rPr>
        <w:t>Using a School Based Health Center to Vaccinate Adolescents for Human Papillomavirus: A Review of Literature</w:t>
      </w:r>
    </w:p>
    <w:p w:rsidR="00DB1140" w:rsidRPr="00D978DC" w:rsidRDefault="00DB1140" w:rsidP="00A304D7">
      <w:pPr>
        <w:contextualSpacing/>
        <w:mirrorIndents/>
        <w:jc w:val="both"/>
        <w:rPr>
          <w:sz w:val="20"/>
          <w:szCs w:val="20"/>
        </w:rPr>
      </w:pPr>
    </w:p>
    <w:p w:rsidR="006E5D9B" w:rsidRPr="00104136" w:rsidRDefault="00CB312B" w:rsidP="00A304D7">
      <w:pPr>
        <w:contextualSpacing/>
        <w:mirrorIndents/>
        <w:jc w:val="both"/>
      </w:pPr>
      <w:r>
        <w:rPr>
          <w:b/>
          <w:sz w:val="22"/>
          <w:szCs w:val="22"/>
        </w:rPr>
        <w:t>Carol Schaumleffel DNP, RN, LSN</w:t>
      </w:r>
      <w:r w:rsidR="000C09B7" w:rsidRPr="00D978DC">
        <w:rPr>
          <w:b/>
          <w:color w:val="FF0000"/>
          <w:sz w:val="22"/>
          <w:szCs w:val="22"/>
          <w:vertAlign w:val="superscript"/>
        </w:rPr>
        <w:t>#</w:t>
      </w:r>
      <w:r w:rsidR="00104136">
        <w:t xml:space="preserve">, </w:t>
      </w:r>
      <w:r w:rsidR="00104136" w:rsidRPr="00104136">
        <w:rPr>
          <w:b/>
        </w:rPr>
        <w:t>Grace Aidoo MSc</w:t>
      </w:r>
    </w:p>
    <w:p w:rsidR="00EE7DEA" w:rsidRPr="00D978DC" w:rsidRDefault="00EE7DEA" w:rsidP="00A304D7">
      <w:pPr>
        <w:contextualSpacing/>
        <w:mirrorIndents/>
        <w:jc w:val="both"/>
        <w:rPr>
          <w:sz w:val="20"/>
          <w:szCs w:val="20"/>
        </w:rPr>
      </w:pPr>
    </w:p>
    <w:p w:rsidR="006E5D9B" w:rsidRPr="00D978DC" w:rsidRDefault="008D2E39" w:rsidP="00A304D7">
      <w:pPr>
        <w:contextualSpacing/>
        <w:mirrorIndents/>
        <w:jc w:val="both"/>
        <w:rPr>
          <w:sz w:val="20"/>
          <w:szCs w:val="20"/>
        </w:rPr>
      </w:pPr>
      <w:r w:rsidRPr="003B27E4">
        <w:rPr>
          <w:sz w:val="20"/>
          <w:szCs w:val="20"/>
        </w:rPr>
        <w:t>School of Nursing</w:t>
      </w:r>
      <w:r w:rsidRPr="00D978DC">
        <w:rPr>
          <w:sz w:val="20"/>
          <w:szCs w:val="20"/>
        </w:rPr>
        <w:t xml:space="preserve">, </w:t>
      </w:r>
      <w:r w:rsidR="0048634F" w:rsidRPr="0048634F">
        <w:rPr>
          <w:sz w:val="20"/>
          <w:szCs w:val="20"/>
        </w:rPr>
        <w:t>College of Health Sciences and Professions</w:t>
      </w:r>
      <w:r w:rsidR="0048634F">
        <w:rPr>
          <w:sz w:val="20"/>
          <w:szCs w:val="20"/>
        </w:rPr>
        <w:t xml:space="preserve">, </w:t>
      </w:r>
      <w:r w:rsidR="00210D03" w:rsidRPr="00210D03">
        <w:rPr>
          <w:sz w:val="20"/>
          <w:szCs w:val="20"/>
        </w:rPr>
        <w:t>Ohio University</w:t>
      </w:r>
      <w:r w:rsidR="00386FED" w:rsidRPr="00D978DC">
        <w:rPr>
          <w:sz w:val="20"/>
          <w:szCs w:val="20"/>
        </w:rPr>
        <w:t xml:space="preserve">, </w:t>
      </w:r>
      <w:r w:rsidR="00DF1D62">
        <w:rPr>
          <w:sz w:val="20"/>
          <w:szCs w:val="20"/>
        </w:rPr>
        <w:t>Ohio</w:t>
      </w:r>
      <w:r w:rsidR="006E5D9B" w:rsidRPr="00D978DC">
        <w:rPr>
          <w:sz w:val="20"/>
          <w:szCs w:val="20"/>
        </w:rPr>
        <w:t>, USA</w:t>
      </w:r>
    </w:p>
    <w:p w:rsidR="004C5A7B" w:rsidRPr="00D978DC" w:rsidRDefault="004C5A7B" w:rsidP="00A304D7">
      <w:pPr>
        <w:contextualSpacing/>
        <w:mirrorIndents/>
        <w:jc w:val="both"/>
        <w:rPr>
          <w:sz w:val="20"/>
          <w:szCs w:val="20"/>
        </w:rPr>
      </w:pPr>
    </w:p>
    <w:p w:rsidR="006E5D9B" w:rsidRPr="00D978DC" w:rsidRDefault="006E5D9B" w:rsidP="00A304D7">
      <w:pPr>
        <w:contextualSpacing/>
        <w:mirrorIndents/>
        <w:jc w:val="both"/>
        <w:rPr>
          <w:sz w:val="20"/>
          <w:szCs w:val="20"/>
        </w:rPr>
      </w:pPr>
      <w:r w:rsidRPr="00D978DC">
        <w:rPr>
          <w:b/>
          <w:color w:val="FF0000"/>
          <w:sz w:val="20"/>
          <w:szCs w:val="20"/>
          <w:vertAlign w:val="superscript"/>
        </w:rPr>
        <w:t>#</w:t>
      </w:r>
      <w:r w:rsidRPr="00D978DC">
        <w:rPr>
          <w:b/>
          <w:sz w:val="20"/>
          <w:szCs w:val="20"/>
        </w:rPr>
        <w:t>Corresponding author:</w:t>
      </w:r>
      <w:r w:rsidRPr="00D978DC">
        <w:rPr>
          <w:sz w:val="20"/>
          <w:szCs w:val="20"/>
        </w:rPr>
        <w:t xml:space="preserve"> </w:t>
      </w:r>
      <w:r w:rsidR="003A4A1E" w:rsidRPr="003A4A1E">
        <w:rPr>
          <w:sz w:val="20"/>
          <w:szCs w:val="20"/>
        </w:rPr>
        <w:t>Carol Schaumleffel DNP, RN, LSN</w:t>
      </w:r>
      <w:r w:rsidRPr="00D978DC">
        <w:rPr>
          <w:sz w:val="20"/>
          <w:szCs w:val="20"/>
        </w:rPr>
        <w:t xml:space="preserve">, </w:t>
      </w:r>
      <w:r w:rsidR="00977FC0" w:rsidRPr="00977FC0">
        <w:rPr>
          <w:sz w:val="20"/>
          <w:szCs w:val="20"/>
        </w:rPr>
        <w:t xml:space="preserve">Assistant </w:t>
      </w:r>
      <w:r w:rsidR="0028728C" w:rsidRPr="00D978DC">
        <w:rPr>
          <w:sz w:val="20"/>
          <w:szCs w:val="20"/>
        </w:rPr>
        <w:t>Professor</w:t>
      </w:r>
      <w:r w:rsidRPr="00D978DC">
        <w:rPr>
          <w:sz w:val="20"/>
          <w:szCs w:val="20"/>
        </w:rPr>
        <w:t xml:space="preserve">, </w:t>
      </w:r>
      <w:r w:rsidR="00A6395C" w:rsidRPr="00A6395C">
        <w:rPr>
          <w:sz w:val="20"/>
          <w:szCs w:val="20"/>
        </w:rPr>
        <w:t>School of Nursing, College of Health Sciences and Professions, Ohio University</w:t>
      </w:r>
      <w:r w:rsidR="00A6395C">
        <w:rPr>
          <w:sz w:val="20"/>
          <w:szCs w:val="20"/>
        </w:rPr>
        <w:t xml:space="preserve">, </w:t>
      </w:r>
      <w:r w:rsidR="00FF0EBA" w:rsidRPr="00FF0EBA">
        <w:rPr>
          <w:sz w:val="20"/>
          <w:szCs w:val="20"/>
        </w:rPr>
        <w:t>Athens, Ohio 45701</w:t>
      </w:r>
      <w:r w:rsidR="00DA5137">
        <w:rPr>
          <w:sz w:val="20"/>
          <w:szCs w:val="20"/>
        </w:rPr>
        <w:t>, USA</w:t>
      </w:r>
    </w:p>
    <w:p w:rsidR="000C05DC" w:rsidRPr="00D978DC" w:rsidRDefault="000C05DC" w:rsidP="00A304D7">
      <w:pPr>
        <w:contextualSpacing/>
        <w:mirrorIndents/>
        <w:jc w:val="both"/>
        <w:rPr>
          <w:sz w:val="20"/>
          <w:szCs w:val="20"/>
        </w:rPr>
      </w:pPr>
    </w:p>
    <w:p w:rsidR="006E5D9B" w:rsidRPr="00D978DC" w:rsidRDefault="006E5D9B" w:rsidP="00A304D7">
      <w:pPr>
        <w:contextualSpacing/>
        <w:mirrorIndents/>
        <w:jc w:val="both"/>
        <w:rPr>
          <w:sz w:val="20"/>
          <w:szCs w:val="20"/>
        </w:rPr>
      </w:pPr>
      <w:r w:rsidRPr="00D978DC">
        <w:rPr>
          <w:b/>
          <w:sz w:val="20"/>
          <w:szCs w:val="20"/>
        </w:rPr>
        <w:t>How to cite this article:</w:t>
      </w:r>
      <w:r w:rsidR="005C6A96" w:rsidRPr="00D978DC">
        <w:rPr>
          <w:sz w:val="20"/>
          <w:szCs w:val="20"/>
        </w:rPr>
        <w:t xml:space="preserve"> </w:t>
      </w:r>
      <w:r w:rsidR="00627B54" w:rsidRPr="00627B54">
        <w:rPr>
          <w:sz w:val="20"/>
          <w:szCs w:val="20"/>
        </w:rPr>
        <w:t xml:space="preserve">Schaumleffel </w:t>
      </w:r>
      <w:r w:rsidR="005462FB">
        <w:rPr>
          <w:sz w:val="20"/>
          <w:szCs w:val="20"/>
        </w:rPr>
        <w:t>C</w:t>
      </w:r>
      <w:r w:rsidR="00CA34C0">
        <w:rPr>
          <w:sz w:val="20"/>
          <w:szCs w:val="20"/>
        </w:rPr>
        <w:t xml:space="preserve"> and</w:t>
      </w:r>
      <w:r w:rsidR="002364EA">
        <w:rPr>
          <w:sz w:val="20"/>
          <w:szCs w:val="20"/>
        </w:rPr>
        <w:t xml:space="preserve"> </w:t>
      </w:r>
      <w:r w:rsidR="002364EA" w:rsidRPr="002364EA">
        <w:rPr>
          <w:sz w:val="20"/>
          <w:szCs w:val="20"/>
        </w:rPr>
        <w:t>Aidoo</w:t>
      </w:r>
      <w:r w:rsidR="005462FB">
        <w:rPr>
          <w:sz w:val="20"/>
          <w:szCs w:val="20"/>
        </w:rPr>
        <w:t xml:space="preserve"> </w:t>
      </w:r>
      <w:r w:rsidR="002364EA">
        <w:rPr>
          <w:sz w:val="20"/>
          <w:szCs w:val="20"/>
        </w:rPr>
        <w:t xml:space="preserve">G </w:t>
      </w:r>
      <w:r w:rsidRPr="00D978DC">
        <w:rPr>
          <w:sz w:val="20"/>
          <w:szCs w:val="20"/>
        </w:rPr>
        <w:t xml:space="preserve">(2021) </w:t>
      </w:r>
      <w:r w:rsidR="00971AEC" w:rsidRPr="00971AEC">
        <w:rPr>
          <w:sz w:val="20"/>
          <w:szCs w:val="20"/>
        </w:rPr>
        <w:t>Using a School Based Health Center to Vaccinate Adolescents for Human Papillomavirus: A Review of Literature</w:t>
      </w:r>
      <w:r w:rsidRPr="00D978DC">
        <w:rPr>
          <w:sz w:val="20"/>
          <w:szCs w:val="20"/>
        </w:rPr>
        <w:t>. Int J Nurs</w:t>
      </w:r>
      <w:r w:rsidR="00B70E98" w:rsidRPr="00D978DC">
        <w:rPr>
          <w:sz w:val="20"/>
          <w:szCs w:val="20"/>
        </w:rPr>
        <w:t xml:space="preserve"> &amp; Healt Car Scie 01(0</w:t>
      </w:r>
      <w:r w:rsidR="006A3A12">
        <w:rPr>
          <w:sz w:val="20"/>
          <w:szCs w:val="20"/>
        </w:rPr>
        <w:t>9</w:t>
      </w:r>
      <w:r w:rsidR="006D4C60">
        <w:rPr>
          <w:sz w:val="20"/>
          <w:szCs w:val="20"/>
        </w:rPr>
        <w:t>): 2021-52</w:t>
      </w:r>
      <w:r w:rsidRPr="00D978DC">
        <w:rPr>
          <w:sz w:val="20"/>
          <w:szCs w:val="20"/>
        </w:rPr>
        <w:t>.</w:t>
      </w:r>
    </w:p>
    <w:p w:rsidR="006E5D9B" w:rsidRPr="00D978DC" w:rsidRDefault="006E5D9B" w:rsidP="00A304D7">
      <w:pPr>
        <w:contextualSpacing/>
        <w:mirrorIndents/>
        <w:jc w:val="both"/>
        <w:rPr>
          <w:sz w:val="20"/>
          <w:szCs w:val="20"/>
        </w:rPr>
      </w:pPr>
    </w:p>
    <w:p w:rsidR="006E5D9B" w:rsidRPr="00D978DC" w:rsidRDefault="006E5D9B" w:rsidP="00A304D7">
      <w:pPr>
        <w:contextualSpacing/>
        <w:mirrorIndents/>
        <w:jc w:val="both"/>
        <w:rPr>
          <w:sz w:val="20"/>
          <w:szCs w:val="20"/>
        </w:rPr>
      </w:pPr>
      <w:r w:rsidRPr="00D978DC">
        <w:rPr>
          <w:b/>
          <w:sz w:val="20"/>
          <w:szCs w:val="20"/>
        </w:rPr>
        <w:t>Submission Date:</w:t>
      </w:r>
      <w:r w:rsidRPr="00D978DC">
        <w:rPr>
          <w:sz w:val="20"/>
          <w:szCs w:val="20"/>
        </w:rPr>
        <w:t xml:space="preserve"> </w:t>
      </w:r>
      <w:r w:rsidR="004903A5">
        <w:rPr>
          <w:sz w:val="20"/>
          <w:szCs w:val="20"/>
        </w:rPr>
        <w:t>24</w:t>
      </w:r>
      <w:r w:rsidRPr="00D978DC">
        <w:rPr>
          <w:sz w:val="20"/>
          <w:szCs w:val="20"/>
        </w:rPr>
        <w:t xml:space="preserve"> June, 2021; </w:t>
      </w:r>
      <w:r w:rsidRPr="00D978DC">
        <w:rPr>
          <w:b/>
          <w:sz w:val="20"/>
          <w:szCs w:val="20"/>
        </w:rPr>
        <w:t>Accepted Date:</w:t>
      </w:r>
      <w:r w:rsidRPr="00D978DC">
        <w:rPr>
          <w:sz w:val="20"/>
          <w:szCs w:val="20"/>
        </w:rPr>
        <w:t xml:space="preserve"> </w:t>
      </w:r>
      <w:r w:rsidR="000F0061" w:rsidRPr="00D978DC">
        <w:rPr>
          <w:sz w:val="20"/>
          <w:szCs w:val="20"/>
        </w:rPr>
        <w:t>0</w:t>
      </w:r>
      <w:r w:rsidR="00CC3213">
        <w:rPr>
          <w:sz w:val="20"/>
          <w:szCs w:val="20"/>
        </w:rPr>
        <w:t>6</w:t>
      </w:r>
      <w:r w:rsidR="000F0061" w:rsidRPr="00D978DC">
        <w:rPr>
          <w:sz w:val="20"/>
          <w:szCs w:val="20"/>
        </w:rPr>
        <w:t xml:space="preserve"> July</w:t>
      </w:r>
      <w:r w:rsidRPr="00D978DC">
        <w:rPr>
          <w:sz w:val="20"/>
          <w:szCs w:val="20"/>
        </w:rPr>
        <w:t xml:space="preserve">, 2021; </w:t>
      </w:r>
      <w:r w:rsidRPr="00D978DC">
        <w:rPr>
          <w:b/>
          <w:sz w:val="20"/>
          <w:szCs w:val="20"/>
        </w:rPr>
        <w:t>Published Online:</w:t>
      </w:r>
      <w:r w:rsidR="004A7851">
        <w:rPr>
          <w:sz w:val="20"/>
          <w:szCs w:val="20"/>
        </w:rPr>
        <w:t xml:space="preserve"> 12</w:t>
      </w:r>
      <w:r w:rsidRPr="00D978DC">
        <w:rPr>
          <w:sz w:val="20"/>
          <w:szCs w:val="20"/>
        </w:rPr>
        <w:t xml:space="preserve"> July, 2021</w:t>
      </w:r>
    </w:p>
    <w:p w:rsidR="00C33565" w:rsidRPr="00D978DC" w:rsidRDefault="00C33565" w:rsidP="00C33565">
      <w:pPr>
        <w:contextualSpacing/>
        <w:mirrorIndents/>
        <w:jc w:val="both"/>
        <w:rPr>
          <w:b/>
          <w:sz w:val="20"/>
          <w:szCs w:val="20"/>
        </w:rPr>
      </w:pPr>
      <w:bookmarkStart w:id="1" w:name="Using_a_School_Based_Health_Center_to_Va"/>
      <w:bookmarkEnd w:id="0"/>
      <w:bookmarkEnd w:id="1"/>
    </w:p>
    <w:p w:rsidR="00C33565" w:rsidRPr="00D978DC" w:rsidRDefault="00C33565" w:rsidP="00C33565">
      <w:pPr>
        <w:contextualSpacing/>
        <w:mirrorIndents/>
        <w:jc w:val="both"/>
        <w:rPr>
          <w:b/>
          <w:sz w:val="20"/>
          <w:szCs w:val="20"/>
        </w:rPr>
      </w:pPr>
      <w:bookmarkStart w:id="2" w:name="Abstract"/>
      <w:bookmarkEnd w:id="2"/>
      <w:r w:rsidRPr="00D978DC">
        <w:rPr>
          <w:b/>
          <w:sz w:val="20"/>
          <w:szCs w:val="20"/>
        </w:rPr>
        <w:t>Abstract</w:t>
      </w:r>
    </w:p>
    <w:p w:rsidR="00C33565" w:rsidRPr="00D978DC" w:rsidRDefault="00C33565" w:rsidP="00C33565">
      <w:pPr>
        <w:contextualSpacing/>
        <w:mirrorIndents/>
        <w:jc w:val="both"/>
        <w:rPr>
          <w:b/>
          <w:sz w:val="20"/>
          <w:szCs w:val="20"/>
        </w:rPr>
      </w:pPr>
    </w:p>
    <w:p w:rsidR="00C33565" w:rsidRPr="00D978DC" w:rsidRDefault="00C33565" w:rsidP="00C33565">
      <w:pPr>
        <w:contextualSpacing/>
        <w:mirrorIndents/>
        <w:jc w:val="both"/>
        <w:rPr>
          <w:sz w:val="20"/>
          <w:szCs w:val="20"/>
        </w:rPr>
      </w:pPr>
      <w:r w:rsidRPr="00D978DC">
        <w:rPr>
          <w:sz w:val="20"/>
          <w:szCs w:val="20"/>
        </w:rPr>
        <w:t>Vaccination against the Human Papillomavirus (HPV) is a well-known and effective method for preventing cervical cancer. In the United States, vaccines against Human Papillomavirus</w:t>
      </w:r>
      <w:r w:rsidRPr="00D978DC">
        <w:rPr>
          <w:spacing w:val="-11"/>
          <w:sz w:val="20"/>
          <w:szCs w:val="20"/>
        </w:rPr>
        <w:t xml:space="preserve"> </w:t>
      </w:r>
      <w:r w:rsidRPr="00D978DC">
        <w:rPr>
          <w:sz w:val="20"/>
          <w:szCs w:val="20"/>
        </w:rPr>
        <w:t>(HPV)</w:t>
      </w:r>
      <w:r w:rsidRPr="00D978DC">
        <w:rPr>
          <w:spacing w:val="-12"/>
          <w:sz w:val="20"/>
          <w:szCs w:val="20"/>
        </w:rPr>
        <w:t xml:space="preserve"> </w:t>
      </w:r>
      <w:r w:rsidRPr="00D978DC">
        <w:rPr>
          <w:sz w:val="20"/>
          <w:szCs w:val="20"/>
        </w:rPr>
        <w:t>are</w:t>
      </w:r>
      <w:r w:rsidRPr="00D978DC">
        <w:rPr>
          <w:spacing w:val="-11"/>
          <w:sz w:val="20"/>
          <w:szCs w:val="20"/>
        </w:rPr>
        <w:t xml:space="preserve"> </w:t>
      </w:r>
      <w:r w:rsidRPr="00D978DC">
        <w:rPr>
          <w:sz w:val="20"/>
          <w:szCs w:val="20"/>
        </w:rPr>
        <w:t>recommended</w:t>
      </w:r>
      <w:r w:rsidRPr="00D978DC">
        <w:rPr>
          <w:spacing w:val="-11"/>
          <w:sz w:val="20"/>
          <w:szCs w:val="20"/>
        </w:rPr>
        <w:t xml:space="preserve"> </w:t>
      </w:r>
      <w:r w:rsidRPr="00D978DC">
        <w:rPr>
          <w:sz w:val="20"/>
          <w:szCs w:val="20"/>
        </w:rPr>
        <w:t>for</w:t>
      </w:r>
      <w:r w:rsidRPr="00D978DC">
        <w:rPr>
          <w:spacing w:val="-12"/>
          <w:sz w:val="20"/>
          <w:szCs w:val="20"/>
        </w:rPr>
        <w:t xml:space="preserve"> </w:t>
      </w:r>
      <w:r w:rsidRPr="00D978DC">
        <w:rPr>
          <w:sz w:val="20"/>
          <w:szCs w:val="20"/>
        </w:rPr>
        <w:t>routine</w:t>
      </w:r>
      <w:r w:rsidRPr="00D978DC">
        <w:rPr>
          <w:spacing w:val="-11"/>
          <w:sz w:val="20"/>
          <w:szCs w:val="20"/>
        </w:rPr>
        <w:t xml:space="preserve"> </w:t>
      </w:r>
      <w:r w:rsidRPr="00D978DC">
        <w:rPr>
          <w:sz w:val="20"/>
          <w:szCs w:val="20"/>
        </w:rPr>
        <w:t>use</w:t>
      </w:r>
      <w:r w:rsidRPr="00D978DC">
        <w:rPr>
          <w:spacing w:val="-12"/>
          <w:sz w:val="20"/>
          <w:szCs w:val="20"/>
        </w:rPr>
        <w:t xml:space="preserve"> </w:t>
      </w:r>
      <w:r w:rsidRPr="00D978DC">
        <w:rPr>
          <w:sz w:val="20"/>
          <w:szCs w:val="20"/>
        </w:rPr>
        <w:t>in</w:t>
      </w:r>
      <w:r w:rsidRPr="00D978DC">
        <w:rPr>
          <w:spacing w:val="-11"/>
          <w:sz w:val="20"/>
          <w:szCs w:val="20"/>
        </w:rPr>
        <w:t xml:space="preserve"> </w:t>
      </w:r>
      <w:r w:rsidRPr="00D978DC">
        <w:rPr>
          <w:sz w:val="20"/>
          <w:szCs w:val="20"/>
        </w:rPr>
        <w:t>adolescents</w:t>
      </w:r>
      <w:r w:rsidRPr="00D978DC">
        <w:rPr>
          <w:spacing w:val="-10"/>
          <w:sz w:val="20"/>
          <w:szCs w:val="20"/>
        </w:rPr>
        <w:t xml:space="preserve"> </w:t>
      </w:r>
      <w:r w:rsidRPr="00D978DC">
        <w:rPr>
          <w:sz w:val="20"/>
          <w:szCs w:val="20"/>
        </w:rPr>
        <w:t>11</w:t>
      </w:r>
      <w:r w:rsidRPr="00D978DC">
        <w:rPr>
          <w:spacing w:val="-11"/>
          <w:sz w:val="20"/>
          <w:szCs w:val="20"/>
        </w:rPr>
        <w:t xml:space="preserve"> </w:t>
      </w:r>
      <w:r w:rsidRPr="00D978DC">
        <w:rPr>
          <w:sz w:val="20"/>
          <w:szCs w:val="20"/>
        </w:rPr>
        <w:t>to</w:t>
      </w:r>
      <w:r w:rsidRPr="00D978DC">
        <w:rPr>
          <w:spacing w:val="-11"/>
          <w:sz w:val="20"/>
          <w:szCs w:val="20"/>
        </w:rPr>
        <w:t xml:space="preserve"> </w:t>
      </w:r>
      <w:r w:rsidRPr="00D978DC">
        <w:rPr>
          <w:sz w:val="20"/>
          <w:szCs w:val="20"/>
        </w:rPr>
        <w:t>12</w:t>
      </w:r>
      <w:r w:rsidRPr="00D978DC">
        <w:rPr>
          <w:spacing w:val="-10"/>
          <w:sz w:val="20"/>
          <w:szCs w:val="20"/>
        </w:rPr>
        <w:t xml:space="preserve"> </w:t>
      </w:r>
      <w:r w:rsidRPr="00D978DC">
        <w:rPr>
          <w:sz w:val="20"/>
          <w:szCs w:val="20"/>
        </w:rPr>
        <w:t>years</w:t>
      </w:r>
      <w:r w:rsidRPr="00D978DC">
        <w:rPr>
          <w:spacing w:val="-11"/>
          <w:sz w:val="20"/>
          <w:szCs w:val="20"/>
        </w:rPr>
        <w:t xml:space="preserve"> </w:t>
      </w:r>
      <w:r w:rsidRPr="00D978DC">
        <w:rPr>
          <w:sz w:val="20"/>
          <w:szCs w:val="20"/>
        </w:rPr>
        <w:t>of</w:t>
      </w:r>
      <w:r w:rsidRPr="00D978DC">
        <w:rPr>
          <w:spacing w:val="-12"/>
          <w:sz w:val="20"/>
          <w:szCs w:val="20"/>
        </w:rPr>
        <w:t xml:space="preserve"> </w:t>
      </w:r>
      <w:r w:rsidRPr="00D978DC">
        <w:rPr>
          <w:sz w:val="20"/>
          <w:szCs w:val="20"/>
        </w:rPr>
        <w:t>age.</w:t>
      </w:r>
      <w:r w:rsidRPr="00D978DC">
        <w:rPr>
          <w:spacing w:val="42"/>
          <w:sz w:val="20"/>
          <w:szCs w:val="20"/>
        </w:rPr>
        <w:t xml:space="preserve"> </w:t>
      </w:r>
      <w:r w:rsidRPr="00D978DC">
        <w:rPr>
          <w:sz w:val="20"/>
          <w:szCs w:val="20"/>
        </w:rPr>
        <w:t>HPV is a disease that causes over 33,000 cervical cancer diagnosis each year in the United States. Although this vaccine is recommended for the prevention of HPV, immunization rates stay 25- 30% lower than other preteen immunizations in the United</w:t>
      </w:r>
      <w:r w:rsidRPr="00D978DC">
        <w:rPr>
          <w:spacing w:val="-6"/>
          <w:sz w:val="20"/>
          <w:szCs w:val="20"/>
        </w:rPr>
        <w:t xml:space="preserve"> </w:t>
      </w:r>
      <w:r w:rsidRPr="00D978DC">
        <w:rPr>
          <w:sz w:val="20"/>
          <w:szCs w:val="20"/>
        </w:rPr>
        <w:t>States. The</w:t>
      </w:r>
      <w:r w:rsidRPr="00D978DC">
        <w:rPr>
          <w:spacing w:val="-15"/>
          <w:sz w:val="20"/>
          <w:szCs w:val="20"/>
        </w:rPr>
        <w:t xml:space="preserve"> </w:t>
      </w:r>
      <w:r w:rsidRPr="00D978DC">
        <w:rPr>
          <w:sz w:val="20"/>
          <w:szCs w:val="20"/>
        </w:rPr>
        <w:t>purpose</w:t>
      </w:r>
      <w:r w:rsidRPr="00D978DC">
        <w:rPr>
          <w:spacing w:val="-14"/>
          <w:sz w:val="20"/>
          <w:szCs w:val="20"/>
        </w:rPr>
        <w:t xml:space="preserve"> </w:t>
      </w:r>
      <w:r w:rsidRPr="00D978DC">
        <w:rPr>
          <w:sz w:val="20"/>
          <w:szCs w:val="20"/>
        </w:rPr>
        <w:t>of</w:t>
      </w:r>
      <w:r w:rsidRPr="00D978DC">
        <w:rPr>
          <w:spacing w:val="-14"/>
          <w:sz w:val="20"/>
          <w:szCs w:val="20"/>
        </w:rPr>
        <w:t xml:space="preserve"> </w:t>
      </w:r>
      <w:r w:rsidRPr="00D978DC">
        <w:rPr>
          <w:sz w:val="20"/>
          <w:szCs w:val="20"/>
        </w:rPr>
        <w:t>this</w:t>
      </w:r>
      <w:r w:rsidRPr="00D978DC">
        <w:rPr>
          <w:spacing w:val="-13"/>
          <w:sz w:val="20"/>
          <w:szCs w:val="20"/>
        </w:rPr>
        <w:t xml:space="preserve"> </w:t>
      </w:r>
      <w:r w:rsidRPr="00D978DC">
        <w:rPr>
          <w:sz w:val="20"/>
          <w:szCs w:val="20"/>
        </w:rPr>
        <w:t>review</w:t>
      </w:r>
      <w:r w:rsidRPr="00D978DC">
        <w:rPr>
          <w:spacing w:val="-15"/>
          <w:sz w:val="20"/>
          <w:szCs w:val="20"/>
        </w:rPr>
        <w:t xml:space="preserve"> </w:t>
      </w:r>
      <w:r w:rsidRPr="00D978DC">
        <w:rPr>
          <w:sz w:val="20"/>
          <w:szCs w:val="20"/>
        </w:rPr>
        <w:t>is</w:t>
      </w:r>
      <w:r w:rsidRPr="00D978DC">
        <w:rPr>
          <w:spacing w:val="-13"/>
          <w:sz w:val="20"/>
          <w:szCs w:val="20"/>
        </w:rPr>
        <w:t xml:space="preserve"> </w:t>
      </w:r>
      <w:r w:rsidRPr="00D978DC">
        <w:rPr>
          <w:sz w:val="20"/>
          <w:szCs w:val="20"/>
        </w:rPr>
        <w:t>to</w:t>
      </w:r>
      <w:r w:rsidRPr="00D978DC">
        <w:rPr>
          <w:spacing w:val="-16"/>
          <w:sz w:val="20"/>
          <w:szCs w:val="20"/>
        </w:rPr>
        <w:t xml:space="preserve"> </w:t>
      </w:r>
      <w:r w:rsidRPr="00D978DC">
        <w:rPr>
          <w:sz w:val="20"/>
          <w:szCs w:val="20"/>
        </w:rPr>
        <w:t>evaluate</w:t>
      </w:r>
      <w:r w:rsidRPr="00D978DC">
        <w:rPr>
          <w:spacing w:val="-14"/>
          <w:sz w:val="20"/>
          <w:szCs w:val="20"/>
        </w:rPr>
        <w:t xml:space="preserve"> </w:t>
      </w:r>
      <w:r w:rsidRPr="00D978DC">
        <w:rPr>
          <w:sz w:val="20"/>
          <w:szCs w:val="20"/>
        </w:rPr>
        <w:t>the</w:t>
      </w:r>
      <w:r w:rsidRPr="00D978DC">
        <w:rPr>
          <w:spacing w:val="-14"/>
          <w:sz w:val="20"/>
          <w:szCs w:val="20"/>
        </w:rPr>
        <w:t xml:space="preserve"> </w:t>
      </w:r>
      <w:r w:rsidRPr="00D978DC">
        <w:rPr>
          <w:sz w:val="20"/>
          <w:szCs w:val="20"/>
        </w:rPr>
        <w:t>use</w:t>
      </w:r>
      <w:r w:rsidRPr="00D978DC">
        <w:rPr>
          <w:spacing w:val="-15"/>
          <w:sz w:val="20"/>
          <w:szCs w:val="20"/>
        </w:rPr>
        <w:t xml:space="preserve"> </w:t>
      </w:r>
      <w:r w:rsidRPr="00D978DC">
        <w:rPr>
          <w:sz w:val="20"/>
          <w:szCs w:val="20"/>
        </w:rPr>
        <w:t>of</w:t>
      </w:r>
      <w:r w:rsidRPr="00D978DC">
        <w:rPr>
          <w:spacing w:val="-14"/>
          <w:sz w:val="20"/>
          <w:szCs w:val="20"/>
        </w:rPr>
        <w:t xml:space="preserve"> </w:t>
      </w:r>
      <w:r w:rsidRPr="00D978DC">
        <w:rPr>
          <w:sz w:val="20"/>
          <w:szCs w:val="20"/>
        </w:rPr>
        <w:t>school-based</w:t>
      </w:r>
      <w:r w:rsidRPr="00D978DC">
        <w:rPr>
          <w:spacing w:val="-14"/>
          <w:sz w:val="20"/>
          <w:szCs w:val="20"/>
        </w:rPr>
        <w:t xml:space="preserve"> </w:t>
      </w:r>
      <w:r w:rsidRPr="00D978DC">
        <w:rPr>
          <w:sz w:val="20"/>
          <w:szCs w:val="20"/>
        </w:rPr>
        <w:t>health</w:t>
      </w:r>
      <w:r w:rsidRPr="00D978DC">
        <w:rPr>
          <w:spacing w:val="-13"/>
          <w:sz w:val="20"/>
          <w:szCs w:val="20"/>
        </w:rPr>
        <w:t xml:space="preserve"> </w:t>
      </w:r>
      <w:r w:rsidRPr="00D978DC">
        <w:rPr>
          <w:sz w:val="20"/>
          <w:szCs w:val="20"/>
        </w:rPr>
        <w:t>centers</w:t>
      </w:r>
      <w:r w:rsidRPr="00D978DC">
        <w:rPr>
          <w:spacing w:val="-14"/>
          <w:sz w:val="20"/>
          <w:szCs w:val="20"/>
        </w:rPr>
        <w:t xml:space="preserve"> </w:t>
      </w:r>
      <w:r w:rsidRPr="00D978DC">
        <w:rPr>
          <w:sz w:val="20"/>
          <w:szCs w:val="20"/>
        </w:rPr>
        <w:t>as</w:t>
      </w:r>
      <w:r w:rsidRPr="00D978DC">
        <w:rPr>
          <w:spacing w:val="-13"/>
          <w:sz w:val="20"/>
          <w:szCs w:val="20"/>
        </w:rPr>
        <w:t xml:space="preserve"> </w:t>
      </w:r>
      <w:r w:rsidRPr="00D978DC">
        <w:rPr>
          <w:sz w:val="20"/>
          <w:szCs w:val="20"/>
        </w:rPr>
        <w:t>a</w:t>
      </w:r>
      <w:r w:rsidRPr="00D978DC">
        <w:rPr>
          <w:spacing w:val="-14"/>
          <w:sz w:val="20"/>
          <w:szCs w:val="20"/>
        </w:rPr>
        <w:t xml:space="preserve"> </w:t>
      </w:r>
      <w:r w:rsidRPr="00D978DC">
        <w:rPr>
          <w:sz w:val="20"/>
          <w:szCs w:val="20"/>
        </w:rPr>
        <w:t>solution to increasing the initiation and completion of HPV vaccinations in adolescents. Scientific databases were accessed to search for relevant literature. The search included PubMed, CINAHL (Cumulative Index to Nursing and Allied Health Literature), ERIC (Education Resources Information Center), Soc INDEX, PsyINFO, ProQuest Nursing and Allied Health, and Google Scholar. Key terms such as HPV, Human Papillomavirus Infection, Vaccines, Vaccination, Immunization, School-Based Health Center, Adolescent or Child, and Papillomavirus Vaccines were used. Of the 4,653 records, 15 articles met inclusion criteria. Most evidence advocates for the use of School-Based Health Centers (SBHC) or School-Based Programs (SBP) to increase vaccination. However, the literature identifies a small percentage of school</w:t>
      </w:r>
      <w:r w:rsidR="00256825">
        <w:rPr>
          <w:sz w:val="20"/>
          <w:szCs w:val="20"/>
        </w:rPr>
        <w:t>s</w:t>
      </w:r>
      <w:r w:rsidRPr="00D978DC">
        <w:rPr>
          <w:sz w:val="20"/>
          <w:szCs w:val="20"/>
        </w:rPr>
        <w:t xml:space="preserve"> in the United States with an SBHC</w:t>
      </w:r>
      <w:r w:rsidRPr="00D978DC">
        <w:rPr>
          <w:spacing w:val="-1"/>
          <w:sz w:val="20"/>
          <w:szCs w:val="20"/>
        </w:rPr>
        <w:t xml:space="preserve"> </w:t>
      </w:r>
      <w:r w:rsidRPr="00D978DC">
        <w:rPr>
          <w:sz w:val="20"/>
          <w:szCs w:val="20"/>
        </w:rPr>
        <w:t>onsite.</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b/>
        </w:rPr>
        <w:t>Keywords:</w:t>
      </w:r>
      <w:r w:rsidRPr="00D978DC">
        <w:rPr>
          <w:b/>
          <w:sz w:val="20"/>
          <w:szCs w:val="20"/>
        </w:rPr>
        <w:t xml:space="preserve"> </w:t>
      </w:r>
      <w:r w:rsidRPr="00D978DC">
        <w:rPr>
          <w:sz w:val="20"/>
          <w:szCs w:val="20"/>
        </w:rPr>
        <w:t xml:space="preserve">Adolescents; HPV; Human papillomavirus vaccination; Immunization; School-based health centers; </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rPr>
      </w:pPr>
      <w:r w:rsidRPr="00D978DC">
        <w:rPr>
          <w:b/>
        </w:rPr>
        <w:t>Introduction</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 xml:space="preserve">Human papillomavirus (HPV) is the most common sexually transmitted infection in the United States </w:t>
      </w:r>
      <w:r w:rsidRPr="00D978DC">
        <w:rPr>
          <w:color w:val="FF0000"/>
          <w:sz w:val="20"/>
          <w:szCs w:val="20"/>
        </w:rPr>
        <w:t>[1]</w:t>
      </w:r>
      <w:r w:rsidRPr="00D978DC">
        <w:rPr>
          <w:sz w:val="20"/>
          <w:szCs w:val="20"/>
        </w:rPr>
        <w:t>. Papillomavirus infections disproportionately affect younger women compared to older women, affecting a prevalence of 27% to 45% women aged 18-24</w:t>
      </w:r>
      <w:r w:rsidRPr="00D978DC">
        <w:rPr>
          <w:spacing w:val="-16"/>
          <w:sz w:val="20"/>
          <w:szCs w:val="20"/>
        </w:rPr>
        <w:t xml:space="preserve"> </w:t>
      </w:r>
      <w:r w:rsidRPr="00D978DC">
        <w:rPr>
          <w:sz w:val="20"/>
          <w:szCs w:val="20"/>
        </w:rPr>
        <w:t>years.</w:t>
      </w:r>
      <w:r w:rsidRPr="00D978DC">
        <w:rPr>
          <w:spacing w:val="-16"/>
          <w:sz w:val="20"/>
          <w:szCs w:val="20"/>
        </w:rPr>
        <w:t xml:space="preserve"> </w:t>
      </w:r>
      <w:r w:rsidRPr="00D978DC">
        <w:rPr>
          <w:sz w:val="20"/>
          <w:szCs w:val="20"/>
        </w:rPr>
        <w:t>HPV</w:t>
      </w:r>
      <w:r w:rsidRPr="00D978DC">
        <w:rPr>
          <w:spacing w:val="-15"/>
          <w:sz w:val="20"/>
          <w:szCs w:val="20"/>
        </w:rPr>
        <w:t xml:space="preserve"> </w:t>
      </w:r>
      <w:r w:rsidRPr="00D978DC">
        <w:rPr>
          <w:sz w:val="20"/>
          <w:szCs w:val="20"/>
        </w:rPr>
        <w:t>is</w:t>
      </w:r>
      <w:r w:rsidRPr="00D978DC">
        <w:rPr>
          <w:spacing w:val="-16"/>
          <w:sz w:val="20"/>
          <w:szCs w:val="20"/>
        </w:rPr>
        <w:t xml:space="preserve"> </w:t>
      </w:r>
      <w:r w:rsidRPr="00D978DC">
        <w:rPr>
          <w:sz w:val="20"/>
          <w:szCs w:val="20"/>
        </w:rPr>
        <w:t>not</w:t>
      </w:r>
      <w:r w:rsidRPr="00D978DC">
        <w:rPr>
          <w:spacing w:val="-14"/>
          <w:sz w:val="20"/>
          <w:szCs w:val="20"/>
        </w:rPr>
        <w:t xml:space="preserve"> </w:t>
      </w:r>
      <w:r w:rsidRPr="00D978DC">
        <w:rPr>
          <w:sz w:val="20"/>
          <w:szCs w:val="20"/>
        </w:rPr>
        <w:t>only</w:t>
      </w:r>
      <w:r w:rsidRPr="00D978DC">
        <w:rPr>
          <w:spacing w:val="-16"/>
          <w:sz w:val="20"/>
          <w:szCs w:val="20"/>
        </w:rPr>
        <w:t xml:space="preserve"> </w:t>
      </w:r>
      <w:r w:rsidRPr="00D978DC">
        <w:rPr>
          <w:sz w:val="20"/>
          <w:szCs w:val="20"/>
        </w:rPr>
        <w:t>a</w:t>
      </w:r>
      <w:r w:rsidRPr="00D978DC">
        <w:rPr>
          <w:spacing w:val="-16"/>
          <w:sz w:val="20"/>
          <w:szCs w:val="20"/>
        </w:rPr>
        <w:t xml:space="preserve"> </w:t>
      </w:r>
      <w:r w:rsidRPr="00D978DC">
        <w:rPr>
          <w:sz w:val="20"/>
          <w:szCs w:val="20"/>
        </w:rPr>
        <w:t>cause</w:t>
      </w:r>
      <w:r w:rsidRPr="00D978DC">
        <w:rPr>
          <w:spacing w:val="-17"/>
          <w:sz w:val="20"/>
          <w:szCs w:val="20"/>
        </w:rPr>
        <w:t xml:space="preserve"> </w:t>
      </w:r>
      <w:r w:rsidRPr="00D978DC">
        <w:rPr>
          <w:sz w:val="20"/>
          <w:szCs w:val="20"/>
        </w:rPr>
        <w:t>of</w:t>
      </w:r>
      <w:r w:rsidRPr="00D978DC">
        <w:rPr>
          <w:spacing w:val="-13"/>
          <w:sz w:val="20"/>
          <w:szCs w:val="20"/>
        </w:rPr>
        <w:t xml:space="preserve"> </w:t>
      </w:r>
      <w:r w:rsidRPr="00D978DC">
        <w:rPr>
          <w:sz w:val="20"/>
          <w:szCs w:val="20"/>
        </w:rPr>
        <w:t>cervical</w:t>
      </w:r>
      <w:r w:rsidRPr="00D978DC">
        <w:rPr>
          <w:spacing w:val="-15"/>
          <w:sz w:val="20"/>
          <w:szCs w:val="20"/>
        </w:rPr>
        <w:t xml:space="preserve"> </w:t>
      </w:r>
      <w:r w:rsidRPr="00D978DC">
        <w:rPr>
          <w:sz w:val="20"/>
          <w:szCs w:val="20"/>
        </w:rPr>
        <w:t>cancers</w:t>
      </w:r>
      <w:r w:rsidRPr="00D978DC">
        <w:rPr>
          <w:spacing w:val="-15"/>
          <w:sz w:val="20"/>
          <w:szCs w:val="20"/>
        </w:rPr>
        <w:t xml:space="preserve"> </w:t>
      </w:r>
      <w:r w:rsidRPr="00D978DC">
        <w:rPr>
          <w:sz w:val="20"/>
          <w:szCs w:val="20"/>
        </w:rPr>
        <w:t>but</w:t>
      </w:r>
      <w:r w:rsidRPr="00D978DC">
        <w:rPr>
          <w:spacing w:val="-13"/>
          <w:sz w:val="20"/>
          <w:szCs w:val="20"/>
        </w:rPr>
        <w:t xml:space="preserve"> </w:t>
      </w:r>
      <w:r w:rsidRPr="00D978DC">
        <w:rPr>
          <w:sz w:val="20"/>
          <w:szCs w:val="20"/>
        </w:rPr>
        <w:t>a</w:t>
      </w:r>
      <w:r w:rsidRPr="00D978DC">
        <w:rPr>
          <w:spacing w:val="-16"/>
          <w:sz w:val="20"/>
          <w:szCs w:val="20"/>
        </w:rPr>
        <w:t xml:space="preserve"> </w:t>
      </w:r>
      <w:r w:rsidRPr="00D978DC">
        <w:rPr>
          <w:sz w:val="20"/>
          <w:szCs w:val="20"/>
        </w:rPr>
        <w:t>significant</w:t>
      </w:r>
      <w:r w:rsidRPr="00D978DC">
        <w:rPr>
          <w:spacing w:val="-15"/>
          <w:sz w:val="20"/>
          <w:szCs w:val="20"/>
        </w:rPr>
        <w:t xml:space="preserve"> </w:t>
      </w:r>
      <w:r w:rsidRPr="00D978DC">
        <w:rPr>
          <w:sz w:val="20"/>
          <w:szCs w:val="20"/>
        </w:rPr>
        <w:t>portion</w:t>
      </w:r>
      <w:r w:rsidRPr="00D978DC">
        <w:rPr>
          <w:spacing w:val="-15"/>
          <w:sz w:val="20"/>
          <w:szCs w:val="20"/>
        </w:rPr>
        <w:t xml:space="preserve"> </w:t>
      </w:r>
      <w:r w:rsidRPr="00D978DC">
        <w:rPr>
          <w:sz w:val="20"/>
          <w:szCs w:val="20"/>
        </w:rPr>
        <w:t>of</w:t>
      </w:r>
      <w:r w:rsidRPr="00D978DC">
        <w:rPr>
          <w:spacing w:val="-17"/>
          <w:sz w:val="20"/>
          <w:szCs w:val="20"/>
        </w:rPr>
        <w:t xml:space="preserve"> </w:t>
      </w:r>
      <w:r w:rsidRPr="00D978DC">
        <w:rPr>
          <w:sz w:val="20"/>
          <w:szCs w:val="20"/>
        </w:rPr>
        <w:t>vulvar,</w:t>
      </w:r>
      <w:r w:rsidRPr="00D978DC">
        <w:rPr>
          <w:spacing w:val="-15"/>
          <w:sz w:val="20"/>
          <w:szCs w:val="20"/>
        </w:rPr>
        <w:t xml:space="preserve"> </w:t>
      </w:r>
      <w:r w:rsidRPr="00D978DC">
        <w:rPr>
          <w:sz w:val="20"/>
          <w:szCs w:val="20"/>
        </w:rPr>
        <w:t xml:space="preserve">vaginal, penile, anal, and oropharyngeal cancers </w:t>
      </w:r>
      <w:r w:rsidRPr="00D978DC">
        <w:rPr>
          <w:color w:val="FF0000"/>
          <w:sz w:val="20"/>
          <w:szCs w:val="20"/>
        </w:rPr>
        <w:t>[2]</w:t>
      </w:r>
      <w:r w:rsidRPr="00D978DC">
        <w:rPr>
          <w:sz w:val="20"/>
          <w:szCs w:val="20"/>
        </w:rPr>
        <w:t xml:space="preserve">. Prevention is better than cure. The most effective method to prevent HPV infection is to vaccinate with the HPV vaccine. However, even though the effectiveness of this vaccine is well known, the uptake of this vaccine is low. This highlights the need for introduction of programs to increase the rate of HPV vaccines </w:t>
      </w:r>
      <w:r w:rsidRPr="00D978DC">
        <w:rPr>
          <w:color w:val="FF0000"/>
          <w:sz w:val="20"/>
          <w:szCs w:val="20"/>
        </w:rPr>
        <w:t>[2]</w:t>
      </w:r>
      <w:r w:rsidRPr="00D978DC">
        <w:rPr>
          <w:sz w:val="20"/>
          <w:szCs w:val="20"/>
        </w:rPr>
        <w:t xml:space="preserve">. Hence, the idea of utilizing a school-based health center as means of increasing the rate of the HPV vaccine. According to </w:t>
      </w:r>
      <w:r w:rsidRPr="00D978DC">
        <w:rPr>
          <w:color w:val="FF0000"/>
          <w:sz w:val="20"/>
          <w:szCs w:val="20"/>
        </w:rPr>
        <w:t>[3]</w:t>
      </w:r>
      <w:r w:rsidRPr="00D978DC">
        <w:rPr>
          <w:sz w:val="20"/>
          <w:szCs w:val="20"/>
        </w:rPr>
        <w:t xml:space="preserve">, the completion of HPV vaccine series is highest when provided in a school setting. This may be attributed to the supportive attitude of parents and physicians toward receiving vaccinations at school sites </w:t>
      </w:r>
      <w:r w:rsidRPr="00D978DC">
        <w:rPr>
          <w:color w:val="FF0000"/>
          <w:sz w:val="20"/>
          <w:szCs w:val="20"/>
        </w:rPr>
        <w:t>[4]</w:t>
      </w:r>
      <w:r w:rsidRPr="00D978DC">
        <w:rPr>
          <w:sz w:val="20"/>
          <w:szCs w:val="20"/>
        </w:rPr>
        <w:t>.</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 xml:space="preserve">In the United States, HPV vaccines are administered in clinical settings but barriers like financial aid, insurance coverage, and transportation negatively affect the uptake of the vaccine. Therefore, as a solution, the introduction of school-based health centers, which are often located in or near schools, can bridge the gap between socioeconomically disadvantaged, and provide quality, accessible health care </w:t>
      </w:r>
      <w:r w:rsidRPr="00D978DC">
        <w:rPr>
          <w:color w:val="FF0000"/>
          <w:sz w:val="20"/>
          <w:szCs w:val="20"/>
        </w:rPr>
        <w:t>[5]</w:t>
      </w:r>
      <w:r w:rsidRPr="00D978DC">
        <w:rPr>
          <w:sz w:val="20"/>
          <w:szCs w:val="20"/>
        </w:rPr>
        <w:t>.</w:t>
      </w:r>
    </w:p>
    <w:p w:rsidR="00C33565" w:rsidRPr="00D978DC" w:rsidRDefault="00C33565" w:rsidP="00C33565">
      <w:pPr>
        <w:contextualSpacing/>
        <w:mirrorIndents/>
        <w:jc w:val="both"/>
        <w:rPr>
          <w:sz w:val="20"/>
          <w:szCs w:val="20"/>
        </w:rPr>
      </w:pPr>
    </w:p>
    <w:p w:rsidR="00C33565" w:rsidRPr="00857F06" w:rsidRDefault="00C33565" w:rsidP="00C33565">
      <w:pPr>
        <w:contextualSpacing/>
        <w:mirrorIndents/>
        <w:jc w:val="both"/>
        <w:rPr>
          <w:b/>
          <w:sz w:val="22"/>
          <w:szCs w:val="22"/>
        </w:rPr>
      </w:pPr>
      <w:r w:rsidRPr="00857F06">
        <w:rPr>
          <w:b/>
          <w:sz w:val="22"/>
          <w:szCs w:val="22"/>
        </w:rPr>
        <w:lastRenderedPageBreak/>
        <w:t>Methods</w:t>
      </w:r>
    </w:p>
    <w:p w:rsidR="00C33565" w:rsidRPr="00D978DC" w:rsidRDefault="00C33565" w:rsidP="00C33565">
      <w:pPr>
        <w:contextualSpacing/>
        <w:mirrorIndents/>
        <w:jc w:val="both"/>
        <w:rPr>
          <w:b/>
          <w:sz w:val="20"/>
          <w:szCs w:val="20"/>
        </w:rPr>
      </w:pPr>
    </w:p>
    <w:p w:rsidR="00C33565" w:rsidRPr="00D978DC" w:rsidRDefault="00C33565" w:rsidP="00C33565">
      <w:pPr>
        <w:contextualSpacing/>
        <w:mirrorIndents/>
        <w:jc w:val="both"/>
        <w:rPr>
          <w:sz w:val="20"/>
          <w:szCs w:val="20"/>
        </w:rPr>
      </w:pPr>
      <w:r w:rsidRPr="00D978DC">
        <w:rPr>
          <w:sz w:val="20"/>
          <w:szCs w:val="20"/>
        </w:rPr>
        <w:t>The literature search was guided by a health sciences library specialist. Systematic review software subscription was purchased to assist with organizing and reviewing the results for inclusion and exclusion criteria. The researchers used PRISMA guidelines within the software to track</w:t>
      </w:r>
      <w:r w:rsidRPr="00D978DC">
        <w:rPr>
          <w:spacing w:val="-5"/>
          <w:sz w:val="20"/>
          <w:szCs w:val="20"/>
        </w:rPr>
        <w:t xml:space="preserve"> </w:t>
      </w:r>
      <w:r w:rsidRPr="00D978DC">
        <w:rPr>
          <w:sz w:val="20"/>
          <w:szCs w:val="20"/>
        </w:rPr>
        <w:t>results</w:t>
      </w:r>
      <w:r w:rsidRPr="00D978DC">
        <w:rPr>
          <w:spacing w:val="-4"/>
          <w:sz w:val="20"/>
          <w:szCs w:val="20"/>
        </w:rPr>
        <w:t xml:space="preserve"> </w:t>
      </w:r>
      <w:r w:rsidRPr="00D978DC">
        <w:rPr>
          <w:sz w:val="20"/>
          <w:szCs w:val="20"/>
        </w:rPr>
        <w:t>of</w:t>
      </w:r>
      <w:r w:rsidRPr="00D978DC">
        <w:rPr>
          <w:spacing w:val="-5"/>
          <w:sz w:val="20"/>
          <w:szCs w:val="20"/>
        </w:rPr>
        <w:t xml:space="preserve"> </w:t>
      </w:r>
      <w:r w:rsidRPr="00D978DC">
        <w:rPr>
          <w:sz w:val="20"/>
          <w:szCs w:val="20"/>
        </w:rPr>
        <w:t>the</w:t>
      </w:r>
      <w:r w:rsidRPr="00D978DC">
        <w:rPr>
          <w:spacing w:val="-6"/>
          <w:sz w:val="20"/>
          <w:szCs w:val="20"/>
        </w:rPr>
        <w:t xml:space="preserve"> </w:t>
      </w:r>
      <w:r w:rsidRPr="00D978DC">
        <w:rPr>
          <w:sz w:val="20"/>
          <w:szCs w:val="20"/>
        </w:rPr>
        <w:t>article</w:t>
      </w:r>
      <w:r w:rsidRPr="00D978DC">
        <w:rPr>
          <w:spacing w:val="-2"/>
          <w:sz w:val="20"/>
          <w:szCs w:val="20"/>
        </w:rPr>
        <w:t xml:space="preserve"> </w:t>
      </w:r>
      <w:r w:rsidRPr="00D978DC">
        <w:rPr>
          <w:sz w:val="20"/>
          <w:szCs w:val="20"/>
        </w:rPr>
        <w:t>reviews.</w:t>
      </w:r>
      <w:r w:rsidRPr="00D978DC">
        <w:rPr>
          <w:spacing w:val="-4"/>
          <w:sz w:val="20"/>
          <w:szCs w:val="20"/>
        </w:rPr>
        <w:t xml:space="preserve"> </w:t>
      </w:r>
      <w:r w:rsidRPr="00D978DC">
        <w:rPr>
          <w:sz w:val="20"/>
          <w:szCs w:val="20"/>
        </w:rPr>
        <w:t>The</w:t>
      </w:r>
      <w:r w:rsidRPr="00D978DC">
        <w:rPr>
          <w:spacing w:val="-5"/>
          <w:sz w:val="20"/>
          <w:szCs w:val="20"/>
        </w:rPr>
        <w:t xml:space="preserve"> </w:t>
      </w:r>
      <w:r w:rsidRPr="00D978DC">
        <w:rPr>
          <w:sz w:val="20"/>
          <w:szCs w:val="20"/>
        </w:rPr>
        <w:t>overall</w:t>
      </w:r>
      <w:r w:rsidRPr="00D978DC">
        <w:rPr>
          <w:spacing w:val="-4"/>
          <w:sz w:val="20"/>
          <w:szCs w:val="20"/>
        </w:rPr>
        <w:t xml:space="preserve"> </w:t>
      </w:r>
      <w:r w:rsidRPr="00D978DC">
        <w:rPr>
          <w:sz w:val="20"/>
          <w:szCs w:val="20"/>
        </w:rPr>
        <w:t>process</w:t>
      </w:r>
      <w:r w:rsidRPr="00D978DC">
        <w:rPr>
          <w:spacing w:val="-4"/>
          <w:sz w:val="20"/>
          <w:szCs w:val="20"/>
        </w:rPr>
        <w:t xml:space="preserve"> </w:t>
      </w:r>
      <w:r w:rsidRPr="00D978DC">
        <w:rPr>
          <w:sz w:val="20"/>
          <w:szCs w:val="20"/>
        </w:rPr>
        <w:t>and</w:t>
      </w:r>
      <w:r w:rsidRPr="00D978DC">
        <w:rPr>
          <w:spacing w:val="-4"/>
          <w:sz w:val="20"/>
          <w:szCs w:val="20"/>
        </w:rPr>
        <w:t xml:space="preserve"> </w:t>
      </w:r>
      <w:r w:rsidRPr="00D978DC">
        <w:rPr>
          <w:sz w:val="20"/>
          <w:szCs w:val="20"/>
        </w:rPr>
        <w:t>outcomes</w:t>
      </w:r>
      <w:r w:rsidRPr="00D978DC">
        <w:rPr>
          <w:spacing w:val="-4"/>
          <w:sz w:val="20"/>
          <w:szCs w:val="20"/>
        </w:rPr>
        <w:t xml:space="preserve"> </w:t>
      </w:r>
      <w:r w:rsidRPr="00D978DC">
        <w:rPr>
          <w:sz w:val="20"/>
          <w:szCs w:val="20"/>
        </w:rPr>
        <w:t>of</w:t>
      </w:r>
      <w:r w:rsidRPr="00D978DC">
        <w:rPr>
          <w:spacing w:val="-6"/>
          <w:sz w:val="20"/>
          <w:szCs w:val="20"/>
        </w:rPr>
        <w:t xml:space="preserve"> </w:t>
      </w:r>
      <w:r w:rsidRPr="00D978DC">
        <w:rPr>
          <w:sz w:val="20"/>
          <w:szCs w:val="20"/>
        </w:rPr>
        <w:t>the</w:t>
      </w:r>
      <w:r w:rsidRPr="00D978DC">
        <w:rPr>
          <w:spacing w:val="-2"/>
          <w:sz w:val="20"/>
          <w:szCs w:val="20"/>
        </w:rPr>
        <w:t xml:space="preserve"> </w:t>
      </w:r>
      <w:r w:rsidRPr="00D978DC">
        <w:rPr>
          <w:sz w:val="20"/>
          <w:szCs w:val="20"/>
        </w:rPr>
        <w:t>review</w:t>
      </w:r>
      <w:r w:rsidRPr="00D978DC">
        <w:rPr>
          <w:spacing w:val="-4"/>
          <w:sz w:val="20"/>
          <w:szCs w:val="20"/>
        </w:rPr>
        <w:t xml:space="preserve"> </w:t>
      </w:r>
      <w:r w:rsidRPr="00D978DC">
        <w:rPr>
          <w:sz w:val="20"/>
          <w:szCs w:val="20"/>
        </w:rPr>
        <w:t>are</w:t>
      </w:r>
      <w:r w:rsidRPr="00D978DC">
        <w:rPr>
          <w:spacing w:val="-6"/>
          <w:sz w:val="20"/>
          <w:szCs w:val="20"/>
        </w:rPr>
        <w:t xml:space="preserve"> </w:t>
      </w:r>
      <w:r w:rsidRPr="00D978DC">
        <w:rPr>
          <w:sz w:val="20"/>
          <w:szCs w:val="20"/>
        </w:rPr>
        <w:t>outlined</w:t>
      </w:r>
      <w:r w:rsidRPr="00D978DC">
        <w:rPr>
          <w:spacing w:val="-4"/>
          <w:sz w:val="20"/>
          <w:szCs w:val="20"/>
        </w:rPr>
        <w:t xml:space="preserve"> </w:t>
      </w:r>
      <w:r w:rsidRPr="00D978DC">
        <w:rPr>
          <w:sz w:val="20"/>
          <w:szCs w:val="20"/>
        </w:rPr>
        <w:t>in Figure 1. To be eligible for inclusion, studies needed to include (1) studies written in English, (2) studies that measured school-based health centers and HPV, (3) studies measuring adolescent response</w:t>
      </w:r>
      <w:r w:rsidRPr="00D978DC">
        <w:rPr>
          <w:spacing w:val="-11"/>
          <w:sz w:val="20"/>
          <w:szCs w:val="20"/>
        </w:rPr>
        <w:t xml:space="preserve"> </w:t>
      </w:r>
      <w:r w:rsidRPr="00D978DC">
        <w:rPr>
          <w:sz w:val="20"/>
          <w:szCs w:val="20"/>
        </w:rPr>
        <w:t>to</w:t>
      </w:r>
      <w:r w:rsidRPr="00D978DC">
        <w:rPr>
          <w:spacing w:val="-9"/>
          <w:sz w:val="20"/>
          <w:szCs w:val="20"/>
        </w:rPr>
        <w:t xml:space="preserve"> </w:t>
      </w:r>
      <w:r w:rsidRPr="00D978DC">
        <w:rPr>
          <w:sz w:val="20"/>
          <w:szCs w:val="20"/>
        </w:rPr>
        <w:t>HPV</w:t>
      </w:r>
      <w:r w:rsidRPr="00D978DC">
        <w:rPr>
          <w:spacing w:val="-9"/>
          <w:sz w:val="20"/>
          <w:szCs w:val="20"/>
        </w:rPr>
        <w:t xml:space="preserve"> </w:t>
      </w:r>
      <w:r w:rsidRPr="00D978DC">
        <w:rPr>
          <w:sz w:val="20"/>
          <w:szCs w:val="20"/>
        </w:rPr>
        <w:t>vaccination,</w:t>
      </w:r>
      <w:r w:rsidRPr="00D978DC">
        <w:rPr>
          <w:spacing w:val="-9"/>
          <w:sz w:val="20"/>
          <w:szCs w:val="20"/>
        </w:rPr>
        <w:t xml:space="preserve"> </w:t>
      </w:r>
      <w:r w:rsidRPr="00D978DC">
        <w:rPr>
          <w:sz w:val="20"/>
          <w:szCs w:val="20"/>
        </w:rPr>
        <w:t>(4)</w:t>
      </w:r>
      <w:r w:rsidRPr="00D978DC">
        <w:rPr>
          <w:spacing w:val="-10"/>
          <w:sz w:val="20"/>
          <w:szCs w:val="20"/>
        </w:rPr>
        <w:t xml:space="preserve"> </w:t>
      </w:r>
      <w:r w:rsidRPr="00D978DC">
        <w:rPr>
          <w:sz w:val="20"/>
          <w:szCs w:val="20"/>
        </w:rPr>
        <w:t>studies</w:t>
      </w:r>
      <w:r w:rsidRPr="00D978DC">
        <w:rPr>
          <w:spacing w:val="-8"/>
          <w:sz w:val="20"/>
          <w:szCs w:val="20"/>
        </w:rPr>
        <w:t xml:space="preserve"> </w:t>
      </w:r>
      <w:r w:rsidRPr="00D978DC">
        <w:rPr>
          <w:sz w:val="20"/>
          <w:szCs w:val="20"/>
        </w:rPr>
        <w:t>from</w:t>
      </w:r>
      <w:r w:rsidRPr="00D978DC">
        <w:rPr>
          <w:spacing w:val="-8"/>
          <w:sz w:val="20"/>
          <w:szCs w:val="20"/>
        </w:rPr>
        <w:t xml:space="preserve"> </w:t>
      </w:r>
      <w:r w:rsidRPr="00D978DC">
        <w:rPr>
          <w:sz w:val="20"/>
          <w:szCs w:val="20"/>
        </w:rPr>
        <w:t>the</w:t>
      </w:r>
      <w:r w:rsidRPr="00D978DC">
        <w:rPr>
          <w:spacing w:val="-7"/>
          <w:sz w:val="20"/>
          <w:szCs w:val="20"/>
        </w:rPr>
        <w:t xml:space="preserve"> </w:t>
      </w:r>
      <w:r w:rsidRPr="00D978DC">
        <w:rPr>
          <w:sz w:val="20"/>
          <w:szCs w:val="20"/>
        </w:rPr>
        <w:t>United</w:t>
      </w:r>
      <w:r w:rsidRPr="00D978DC">
        <w:rPr>
          <w:spacing w:val="-10"/>
          <w:sz w:val="20"/>
          <w:szCs w:val="20"/>
        </w:rPr>
        <w:t xml:space="preserve"> </w:t>
      </w:r>
      <w:r w:rsidRPr="00D978DC">
        <w:rPr>
          <w:sz w:val="20"/>
          <w:szCs w:val="20"/>
        </w:rPr>
        <w:t>States</w:t>
      </w:r>
      <w:r w:rsidRPr="00D978DC">
        <w:rPr>
          <w:spacing w:val="-8"/>
          <w:sz w:val="20"/>
          <w:szCs w:val="20"/>
        </w:rPr>
        <w:t xml:space="preserve"> </w:t>
      </w:r>
      <w:r w:rsidRPr="00D978DC">
        <w:rPr>
          <w:sz w:val="20"/>
          <w:szCs w:val="20"/>
        </w:rPr>
        <w:t>and</w:t>
      </w:r>
      <w:r w:rsidRPr="00D978DC">
        <w:rPr>
          <w:spacing w:val="-9"/>
          <w:sz w:val="20"/>
          <w:szCs w:val="20"/>
        </w:rPr>
        <w:t xml:space="preserve"> </w:t>
      </w:r>
      <w:r w:rsidRPr="00D978DC">
        <w:rPr>
          <w:sz w:val="20"/>
          <w:szCs w:val="20"/>
        </w:rPr>
        <w:t>other</w:t>
      </w:r>
      <w:r w:rsidRPr="00D978DC">
        <w:rPr>
          <w:spacing w:val="-7"/>
          <w:sz w:val="20"/>
          <w:szCs w:val="20"/>
        </w:rPr>
        <w:t xml:space="preserve"> </w:t>
      </w:r>
      <w:r w:rsidRPr="00D978DC">
        <w:rPr>
          <w:sz w:val="20"/>
          <w:szCs w:val="20"/>
        </w:rPr>
        <w:t>countries</w:t>
      </w:r>
      <w:r w:rsidRPr="00D978DC">
        <w:rPr>
          <w:spacing w:val="-9"/>
          <w:sz w:val="20"/>
          <w:szCs w:val="20"/>
        </w:rPr>
        <w:t xml:space="preserve"> </w:t>
      </w:r>
      <w:r w:rsidRPr="00D978DC">
        <w:rPr>
          <w:sz w:val="20"/>
          <w:szCs w:val="20"/>
        </w:rPr>
        <w:t>(5)</w:t>
      </w:r>
      <w:r w:rsidRPr="00D978DC">
        <w:rPr>
          <w:spacing w:val="-9"/>
          <w:sz w:val="20"/>
          <w:szCs w:val="20"/>
        </w:rPr>
        <w:t xml:space="preserve"> </w:t>
      </w:r>
      <w:r w:rsidRPr="00D978DC">
        <w:rPr>
          <w:sz w:val="20"/>
          <w:szCs w:val="20"/>
        </w:rPr>
        <w:t>systematic reviews (6) studies published within the period of 2010 through 2020. Letters, opinions, commentaries or articles published prior to 2010 were excluded. Studies that focused on flu, smallpox, polio, HIV and coronavirus were also excluded.</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sz w:val="20"/>
          <w:szCs w:val="20"/>
        </w:rPr>
      </w:pPr>
      <w:r w:rsidRPr="00D978DC">
        <w:rPr>
          <w:b/>
          <w:sz w:val="20"/>
          <w:szCs w:val="20"/>
        </w:rPr>
        <w:t>Search Methods to Identify Studies</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bookmarkStart w:id="3" w:name="Seven_databases_were_searched_to_retriev"/>
      <w:bookmarkEnd w:id="3"/>
      <w:r w:rsidRPr="00D978DC">
        <w:rPr>
          <w:sz w:val="20"/>
          <w:szCs w:val="20"/>
        </w:rPr>
        <w:t>Seven databases were searched to retrieve a wide array of online databases, websites, and information repositories. These databases included PubMed, CINAHL, ERIC, Soc INDEX, PsyINFO, ProQuest Nursing and Allied Health, and Google Scholar. Boolean operators “AND” and “OR” and MeSH terms were used to broaden the search. Keywords used for searching were HPV, human papillomavirus infection, vaccines, vaccination, schools, immunization, school- based, health center, adolescent or child and papillomavirus vaccines; school-based health centers AND vaccination; human papillomavirus AND vaccination; school-based health centers OR human papillomavirus vaccination.</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 xml:space="preserve">As shown in the PRISMA diagram </w:t>
      </w:r>
      <w:r w:rsidRPr="00D978DC">
        <w:rPr>
          <w:color w:val="FF0000"/>
          <w:sz w:val="20"/>
          <w:szCs w:val="20"/>
        </w:rPr>
        <w:t>(Figure 1)</w:t>
      </w:r>
      <w:r w:rsidRPr="00D978DC">
        <w:rPr>
          <w:sz w:val="20"/>
          <w:szCs w:val="20"/>
        </w:rPr>
        <w:t xml:space="preserve">, 4653 journal articles were identified. After eliminating (n=1228) duplicates, a total </w:t>
      </w:r>
      <w:r w:rsidR="00376DCA">
        <w:rPr>
          <w:sz w:val="20"/>
          <w:szCs w:val="20"/>
        </w:rPr>
        <w:t xml:space="preserve">of (n=3425) remained. The title </w:t>
      </w:r>
      <w:r w:rsidRPr="00D978DC">
        <w:rPr>
          <w:sz w:val="20"/>
          <w:szCs w:val="20"/>
        </w:rPr>
        <w:t>and abstracts of these articles were screened by two independent reviewers. After applying the inclusion and exclusion criteria, (n= 3167) articles were found to be irrelevant leaving (n=258) articles to be evaluated by a full-text review. Again, these articles were reviewed by the two reviewers, and results were discussed</w:t>
      </w:r>
      <w:r w:rsidRPr="00D978DC">
        <w:rPr>
          <w:spacing w:val="-14"/>
          <w:sz w:val="20"/>
          <w:szCs w:val="20"/>
        </w:rPr>
        <w:t xml:space="preserve"> </w:t>
      </w:r>
      <w:r w:rsidRPr="00D978DC">
        <w:rPr>
          <w:sz w:val="20"/>
          <w:szCs w:val="20"/>
        </w:rPr>
        <w:t>to</w:t>
      </w:r>
      <w:r w:rsidRPr="00D978DC">
        <w:rPr>
          <w:spacing w:val="-13"/>
          <w:sz w:val="20"/>
          <w:szCs w:val="20"/>
        </w:rPr>
        <w:t xml:space="preserve"> </w:t>
      </w:r>
      <w:r w:rsidRPr="00D978DC">
        <w:rPr>
          <w:sz w:val="20"/>
          <w:szCs w:val="20"/>
        </w:rPr>
        <w:t>meet</w:t>
      </w:r>
      <w:r w:rsidRPr="00D978DC">
        <w:rPr>
          <w:spacing w:val="-11"/>
          <w:sz w:val="20"/>
          <w:szCs w:val="20"/>
        </w:rPr>
        <w:t xml:space="preserve"> </w:t>
      </w:r>
      <w:r w:rsidRPr="00D978DC">
        <w:rPr>
          <w:sz w:val="20"/>
          <w:szCs w:val="20"/>
        </w:rPr>
        <w:t>consensus.</w:t>
      </w:r>
      <w:r w:rsidRPr="00D978DC">
        <w:rPr>
          <w:spacing w:val="-13"/>
          <w:sz w:val="20"/>
          <w:szCs w:val="20"/>
        </w:rPr>
        <w:t xml:space="preserve"> </w:t>
      </w:r>
      <w:r w:rsidRPr="00D978DC">
        <w:rPr>
          <w:sz w:val="20"/>
          <w:szCs w:val="20"/>
        </w:rPr>
        <w:t>Through</w:t>
      </w:r>
      <w:r w:rsidRPr="00D978DC">
        <w:rPr>
          <w:spacing w:val="-13"/>
          <w:sz w:val="20"/>
          <w:szCs w:val="20"/>
        </w:rPr>
        <w:t xml:space="preserve"> </w:t>
      </w:r>
      <w:r w:rsidRPr="00D978DC">
        <w:rPr>
          <w:sz w:val="20"/>
          <w:szCs w:val="20"/>
        </w:rPr>
        <w:t>this</w:t>
      </w:r>
      <w:r w:rsidRPr="00D978DC">
        <w:rPr>
          <w:spacing w:val="-14"/>
          <w:sz w:val="20"/>
          <w:szCs w:val="20"/>
        </w:rPr>
        <w:t xml:space="preserve"> </w:t>
      </w:r>
      <w:r w:rsidRPr="00D978DC">
        <w:rPr>
          <w:sz w:val="20"/>
          <w:szCs w:val="20"/>
        </w:rPr>
        <w:t>process,</w:t>
      </w:r>
      <w:r w:rsidRPr="00D978DC">
        <w:rPr>
          <w:spacing w:val="-13"/>
          <w:sz w:val="20"/>
          <w:szCs w:val="20"/>
        </w:rPr>
        <w:t xml:space="preserve"> </w:t>
      </w:r>
      <w:r w:rsidRPr="00D978DC">
        <w:rPr>
          <w:sz w:val="20"/>
          <w:szCs w:val="20"/>
        </w:rPr>
        <w:t>another</w:t>
      </w:r>
      <w:r w:rsidRPr="00D978DC">
        <w:rPr>
          <w:spacing w:val="-12"/>
          <w:sz w:val="20"/>
          <w:szCs w:val="20"/>
        </w:rPr>
        <w:t xml:space="preserve"> </w:t>
      </w:r>
      <w:r w:rsidRPr="00D978DC">
        <w:rPr>
          <w:sz w:val="20"/>
          <w:szCs w:val="20"/>
        </w:rPr>
        <w:t>(n=243)</w:t>
      </w:r>
      <w:r w:rsidRPr="00D978DC">
        <w:rPr>
          <w:spacing w:val="-14"/>
          <w:sz w:val="20"/>
          <w:szCs w:val="20"/>
        </w:rPr>
        <w:t xml:space="preserve"> </w:t>
      </w:r>
      <w:r w:rsidRPr="00D978DC">
        <w:rPr>
          <w:sz w:val="20"/>
          <w:szCs w:val="20"/>
        </w:rPr>
        <w:t>studies</w:t>
      </w:r>
      <w:r w:rsidRPr="00D978DC">
        <w:rPr>
          <w:spacing w:val="-11"/>
          <w:sz w:val="20"/>
          <w:szCs w:val="20"/>
        </w:rPr>
        <w:t xml:space="preserve"> </w:t>
      </w:r>
      <w:r w:rsidRPr="00D978DC">
        <w:rPr>
          <w:sz w:val="20"/>
          <w:szCs w:val="20"/>
        </w:rPr>
        <w:t>were</w:t>
      </w:r>
      <w:r w:rsidRPr="00D978DC">
        <w:rPr>
          <w:spacing w:val="-13"/>
          <w:sz w:val="20"/>
          <w:szCs w:val="20"/>
        </w:rPr>
        <w:t xml:space="preserve"> </w:t>
      </w:r>
      <w:r w:rsidRPr="00D978DC">
        <w:rPr>
          <w:sz w:val="20"/>
          <w:szCs w:val="20"/>
        </w:rPr>
        <w:t>excluded.</w:t>
      </w:r>
      <w:r w:rsidRPr="00D978DC">
        <w:rPr>
          <w:spacing w:val="-13"/>
          <w:sz w:val="20"/>
          <w:szCs w:val="20"/>
        </w:rPr>
        <w:t xml:space="preserve"> </w:t>
      </w:r>
      <w:r w:rsidRPr="00D978DC">
        <w:rPr>
          <w:sz w:val="20"/>
          <w:szCs w:val="20"/>
        </w:rPr>
        <w:t>A</w:t>
      </w:r>
      <w:r w:rsidRPr="00D978DC">
        <w:rPr>
          <w:spacing w:val="-12"/>
          <w:sz w:val="20"/>
          <w:szCs w:val="20"/>
        </w:rPr>
        <w:t xml:space="preserve"> </w:t>
      </w:r>
      <w:r w:rsidRPr="00D978DC">
        <w:rPr>
          <w:sz w:val="20"/>
          <w:szCs w:val="20"/>
        </w:rPr>
        <w:t>final sample of (n=15) articles met inclusion</w:t>
      </w:r>
      <w:r w:rsidRPr="00D978DC">
        <w:rPr>
          <w:spacing w:val="-2"/>
          <w:sz w:val="20"/>
          <w:szCs w:val="20"/>
        </w:rPr>
        <w:t xml:space="preserve"> </w:t>
      </w:r>
      <w:r w:rsidRPr="00D978DC">
        <w:rPr>
          <w:sz w:val="20"/>
          <w:szCs w:val="20"/>
        </w:rPr>
        <w:t xml:space="preserve">criteria. Information from each study was independently extracted by the reviewers, placed in an evaluation table and compared for relevant evidence. This table listed the study, purpose, population/sample, research design, outcomes and results or conclusions </w:t>
      </w:r>
      <w:r w:rsidRPr="00D978DC">
        <w:rPr>
          <w:color w:val="FF0000"/>
          <w:sz w:val="20"/>
          <w:szCs w:val="20"/>
        </w:rPr>
        <w:t>(Table 1)</w:t>
      </w:r>
      <w:r w:rsidRPr="00D978DC">
        <w:rPr>
          <w:sz w:val="20"/>
          <w:szCs w:val="20"/>
        </w:rPr>
        <w:t>.</w:t>
      </w:r>
    </w:p>
    <w:p w:rsidR="00C33565" w:rsidRPr="00D978DC" w:rsidRDefault="00C33565" w:rsidP="00C33565">
      <w:pPr>
        <w:contextualSpacing/>
        <w:mirrorIndents/>
        <w:jc w:val="both"/>
        <w:rPr>
          <w:sz w:val="20"/>
          <w:szCs w:val="20"/>
        </w:rPr>
      </w:pPr>
      <w:r w:rsidRPr="00D978DC">
        <w:rPr>
          <w:noProof/>
          <w:sz w:val="20"/>
          <w:szCs w:val="20"/>
        </w:rPr>
        <w:drawing>
          <wp:anchor distT="0" distB="0" distL="0" distR="0" simplePos="0" relativeHeight="251659264" behindDoc="0" locked="0" layoutInCell="1" allowOverlap="1" wp14:anchorId="565E13D2" wp14:editId="722B3C0C">
            <wp:simplePos x="0" y="0"/>
            <wp:positionH relativeFrom="page">
              <wp:posOffset>1828260</wp:posOffset>
            </wp:positionH>
            <wp:positionV relativeFrom="paragraph">
              <wp:posOffset>230050</wp:posOffset>
            </wp:positionV>
            <wp:extent cx="3902710" cy="33705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02710" cy="3370580"/>
                    </a:xfrm>
                    <a:prstGeom prst="rect">
                      <a:avLst/>
                    </a:prstGeom>
                  </pic:spPr>
                </pic:pic>
              </a:graphicData>
            </a:graphic>
            <wp14:sizeRelH relativeFrom="margin">
              <wp14:pctWidth>0</wp14:pctWidth>
            </wp14:sizeRelH>
            <wp14:sizeRelV relativeFrom="margin">
              <wp14:pctHeight>0</wp14:pctHeight>
            </wp14:sizeRelV>
          </wp:anchor>
        </w:drawing>
      </w:r>
    </w:p>
    <w:p w:rsidR="00C33565" w:rsidRPr="00D978DC" w:rsidRDefault="00C33565" w:rsidP="009E1492">
      <w:pPr>
        <w:contextualSpacing/>
        <w:mirrorIndents/>
        <w:rPr>
          <w:sz w:val="20"/>
          <w:szCs w:val="20"/>
        </w:rPr>
      </w:pPr>
    </w:p>
    <w:tbl>
      <w:tblPr>
        <w:tblW w:w="11452" w:type="dxa"/>
        <w:jc w:val="center"/>
        <w:tblLook w:val="04A0" w:firstRow="1" w:lastRow="0" w:firstColumn="1" w:lastColumn="0" w:noHBand="0" w:noVBand="1"/>
      </w:tblPr>
      <w:tblGrid>
        <w:gridCol w:w="817"/>
        <w:gridCol w:w="2418"/>
        <w:gridCol w:w="2016"/>
        <w:gridCol w:w="2754"/>
        <w:gridCol w:w="3447"/>
      </w:tblGrid>
      <w:tr w:rsidR="00C33565" w:rsidRPr="00D978DC" w:rsidTr="00470D89">
        <w:trPr>
          <w:trHeight w:val="291"/>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lastRenderedPageBreak/>
              <w:t>Author</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Study or Research Question</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Design, Sample, and Tool</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Summary of Findings</w:t>
            </w:r>
          </w:p>
        </w:tc>
        <w:tc>
          <w:tcPr>
            <w:tcW w:w="3447" w:type="dxa"/>
            <w:tcBorders>
              <w:top w:val="single" w:sz="4" w:space="0" w:color="auto"/>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Recommendations</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5280" w:rsidRDefault="00C33565" w:rsidP="001F3C7E">
            <w:pPr>
              <w:jc w:val="center"/>
              <w:rPr>
                <w:color w:val="FF0000"/>
                <w:sz w:val="20"/>
                <w:szCs w:val="20"/>
              </w:rPr>
            </w:pPr>
            <w:r w:rsidRPr="00155280">
              <w:rPr>
                <w:color w:val="FF0000"/>
                <w:sz w:val="20"/>
                <w:szCs w:val="20"/>
              </w:rPr>
              <w:t>[6]</w:t>
            </w:r>
          </w:p>
          <w:p w:rsidR="00981CBB" w:rsidRPr="00155280" w:rsidRDefault="00981CBB" w:rsidP="001F3C7E">
            <w:pPr>
              <w:jc w:val="center"/>
              <w:rPr>
                <w:color w:val="FF0000"/>
                <w:sz w:val="20"/>
                <w:szCs w:val="20"/>
              </w:rPr>
            </w:pP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Update on HPV</w:t>
            </w:r>
          </w:p>
          <w:p w:rsidR="00C33565" w:rsidRPr="00AF0B9A" w:rsidRDefault="00C33565" w:rsidP="001F3C7E">
            <w:pPr>
              <w:jc w:val="center"/>
              <w:rPr>
                <w:sz w:val="20"/>
                <w:szCs w:val="20"/>
              </w:rPr>
            </w:pPr>
            <w:r w:rsidRPr="00AF0B9A">
              <w:rPr>
                <w:sz w:val="20"/>
                <w:szCs w:val="20"/>
              </w:rPr>
              <w:t>Vaccination among</w:t>
            </w:r>
          </w:p>
          <w:p w:rsidR="00C33565" w:rsidRPr="00AF0B9A" w:rsidRDefault="00C33565" w:rsidP="001F3C7E">
            <w:pPr>
              <w:jc w:val="center"/>
              <w:rPr>
                <w:sz w:val="20"/>
                <w:szCs w:val="20"/>
              </w:rPr>
            </w:pPr>
            <w:r w:rsidRPr="00AF0B9A">
              <w:rPr>
                <w:sz w:val="20"/>
                <w:szCs w:val="20"/>
              </w:rPr>
              <w:t>adolescent women and</w:t>
            </w:r>
          </w:p>
          <w:p w:rsidR="00C33565" w:rsidRPr="00AF0B9A" w:rsidRDefault="00C33565" w:rsidP="001F3C7E">
            <w:pPr>
              <w:jc w:val="center"/>
              <w:rPr>
                <w:sz w:val="20"/>
                <w:szCs w:val="20"/>
              </w:rPr>
            </w:pPr>
            <w:r w:rsidRPr="00AF0B9A">
              <w:rPr>
                <w:sz w:val="20"/>
                <w:szCs w:val="20"/>
              </w:rPr>
              <w:t>report of receipt of vaccine.</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Review</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rPr>
                <w:sz w:val="20"/>
                <w:szCs w:val="20"/>
              </w:rPr>
            </w:pPr>
            <w:r w:rsidRPr="00AF0B9A">
              <w:rPr>
                <w:sz w:val="20"/>
                <w:szCs w:val="20"/>
              </w:rPr>
              <w:t>Uptake and series completion among young women are low.</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Rates may improve by implementing school-based vaccination programs and using an innovative call reminder</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5280" w:rsidRDefault="00220AD8" w:rsidP="00220AD8">
            <w:pPr>
              <w:jc w:val="center"/>
              <w:rPr>
                <w:color w:val="FF0000"/>
                <w:sz w:val="20"/>
                <w:szCs w:val="20"/>
              </w:rPr>
            </w:pPr>
            <w:r w:rsidRPr="00155280">
              <w:rPr>
                <w:color w:val="FF0000"/>
                <w:sz w:val="20"/>
                <w:szCs w:val="20"/>
              </w:rPr>
              <w:t>[7</w:t>
            </w:r>
            <w:r w:rsidR="00C33565" w:rsidRPr="00155280">
              <w:rPr>
                <w:color w:val="FF0000"/>
                <w:sz w:val="20"/>
                <w:szCs w:val="20"/>
              </w:rPr>
              <w:t>]</w:t>
            </w:r>
          </w:p>
          <w:p w:rsidR="00981CBB" w:rsidRPr="00155280" w:rsidRDefault="00981CBB" w:rsidP="00220AD8">
            <w:pPr>
              <w:jc w:val="center"/>
              <w:rPr>
                <w:color w:val="FF0000"/>
                <w:sz w:val="20"/>
                <w:szCs w:val="20"/>
              </w:rPr>
            </w:pP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Examined immunization registry data to decide completion of the 3 dose HPV vaccine.</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quantitative series among adolescents in Seattle Washington</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Found that adolescents who used SBHCs for HPV vaccine doses had significantly higher series completion rates than their counterparts who received all their does in traditional health care settings</w:t>
            </w:r>
          </w:p>
        </w:tc>
        <w:tc>
          <w:tcPr>
            <w:tcW w:w="3447" w:type="dxa"/>
            <w:tcBorders>
              <w:top w:val="nil"/>
              <w:left w:val="nil"/>
              <w:bottom w:val="single" w:sz="4" w:space="0" w:color="auto"/>
              <w:right w:val="single" w:sz="4" w:space="0" w:color="auto"/>
            </w:tcBorders>
            <w:shd w:val="clear" w:color="auto" w:fill="auto"/>
            <w:noWrap/>
            <w:vAlign w:val="center"/>
            <w:hideMark/>
          </w:tcPr>
          <w:p w:rsidR="00C33565" w:rsidRPr="00AF0B9A" w:rsidRDefault="00C33565" w:rsidP="0059285A">
            <w:pPr>
              <w:jc w:val="center"/>
              <w:rPr>
                <w:sz w:val="20"/>
                <w:szCs w:val="20"/>
              </w:rPr>
            </w:pPr>
            <w:r w:rsidRPr="00AF0B9A">
              <w:rPr>
                <w:sz w:val="20"/>
                <w:szCs w:val="20"/>
              </w:rPr>
              <w:t xml:space="preserve">Using SBHCs to supply immunization services is an important strategy to protect adolescents against serious </w:t>
            </w:r>
            <w:r w:rsidR="00226C67" w:rsidRPr="00AF0B9A">
              <w:rPr>
                <w:sz w:val="20"/>
                <w:szCs w:val="20"/>
              </w:rPr>
              <w:t>vaccine preventable</w:t>
            </w:r>
            <w:r w:rsidRPr="00AF0B9A">
              <w:rPr>
                <w:sz w:val="20"/>
                <w:szCs w:val="20"/>
              </w:rPr>
              <w:t xml:space="preserve"> diseases, including HPV</w:t>
            </w:r>
            <w:r w:rsidR="003B52E1" w:rsidRPr="00AF0B9A">
              <w:rPr>
                <w:sz w:val="20"/>
                <w:szCs w:val="20"/>
              </w:rPr>
              <w:t xml:space="preserve"> </w:t>
            </w:r>
            <w:r w:rsidRPr="00AF0B9A">
              <w:rPr>
                <w:sz w:val="20"/>
                <w:szCs w:val="20"/>
              </w:rPr>
              <w:t>related cancers. SBHCs should be expanded and promoted nationwide to prov</w:t>
            </w:r>
            <w:r w:rsidR="0059285A" w:rsidRPr="00AF0B9A">
              <w:rPr>
                <w:sz w:val="20"/>
                <w:szCs w:val="20"/>
              </w:rPr>
              <w:t xml:space="preserve">ide more adolescents with Using </w:t>
            </w:r>
            <w:r w:rsidRPr="00AF0B9A">
              <w:rPr>
                <w:sz w:val="20"/>
                <w:szCs w:val="20"/>
              </w:rPr>
              <w:t>SBHCs to</w:t>
            </w:r>
            <w:r w:rsidR="0059285A" w:rsidRPr="00AF0B9A">
              <w:rPr>
                <w:sz w:val="20"/>
                <w:szCs w:val="20"/>
              </w:rPr>
              <w:t xml:space="preserve"> </w:t>
            </w:r>
            <w:r w:rsidRPr="00AF0B9A">
              <w:rPr>
                <w:sz w:val="20"/>
                <w:szCs w:val="20"/>
              </w:rPr>
              <w:t>supply</w:t>
            </w:r>
            <w:r w:rsidRPr="00AF0B9A">
              <w:rPr>
                <w:sz w:val="20"/>
                <w:szCs w:val="20"/>
              </w:rPr>
              <w:br/>
              <w:t xml:space="preserve">immunization services is an important strategy to protect adolescents against serious vaccine preventable diseases, including HPV related cancers. </w:t>
            </w:r>
            <w:r w:rsidRPr="00AF0B9A">
              <w:rPr>
                <w:sz w:val="20"/>
                <w:szCs w:val="20"/>
              </w:rPr>
              <w:br/>
              <w:t xml:space="preserve">SBHCs should be expanded and promoted nationwide to provide more adolescents with </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5280" w:rsidRDefault="00C33565" w:rsidP="001F3C7E">
            <w:pPr>
              <w:jc w:val="center"/>
              <w:rPr>
                <w:color w:val="FF0000"/>
                <w:sz w:val="20"/>
                <w:szCs w:val="20"/>
              </w:rPr>
            </w:pPr>
            <w:r w:rsidRPr="00155280">
              <w:rPr>
                <w:color w:val="FF0000"/>
                <w:sz w:val="20"/>
                <w:szCs w:val="20"/>
              </w:rPr>
              <w:t>[1]</w:t>
            </w:r>
          </w:p>
          <w:p w:rsidR="00981CBB" w:rsidRPr="00155280" w:rsidRDefault="00981CBB" w:rsidP="001F3C7E">
            <w:pPr>
              <w:jc w:val="center"/>
              <w:rPr>
                <w:color w:val="FF0000"/>
                <w:sz w:val="20"/>
                <w:szCs w:val="20"/>
              </w:rPr>
            </w:pP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Review the effectiveness of interventions conducted at the practice or community level to increase uptake of HPV vaccines in the US</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Systematic review. Looked at 14 interventions to increase uptake of HPV vaccine.</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 xml:space="preserve">Practice and </w:t>
            </w:r>
            <w:r w:rsidR="00F70C65" w:rsidRPr="00AF0B9A">
              <w:rPr>
                <w:sz w:val="20"/>
                <w:szCs w:val="20"/>
              </w:rPr>
              <w:t>community based</w:t>
            </w:r>
            <w:r w:rsidRPr="00AF0B9A">
              <w:rPr>
                <w:sz w:val="20"/>
                <w:szCs w:val="20"/>
              </w:rPr>
              <w:t xml:space="preserve"> intervention approaches included reminder calls, physician focused interventions, school-based programs, social marketing.</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AF0B9A" w:rsidRDefault="00C33565" w:rsidP="001F3C7E">
            <w:pPr>
              <w:jc w:val="center"/>
              <w:rPr>
                <w:sz w:val="20"/>
                <w:szCs w:val="20"/>
              </w:rPr>
            </w:pPr>
            <w:r w:rsidRPr="00AF0B9A">
              <w:rPr>
                <w:sz w:val="20"/>
                <w:szCs w:val="20"/>
              </w:rPr>
              <w:t>Found statistically significant increases in at least 1 HPV vaccination outcome in 12 studies. To address suboptimal rates of HPV vaccination in the US, future efforts should focus on programs that can be implemented within health care settings, such as a reminder call, physician focused efforts as well as community locations such as schools.</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5280" w:rsidRDefault="00F75CEF" w:rsidP="001F3C7E">
            <w:pPr>
              <w:jc w:val="center"/>
              <w:rPr>
                <w:color w:val="FF0000"/>
                <w:sz w:val="20"/>
                <w:szCs w:val="20"/>
              </w:rPr>
            </w:pPr>
            <w:r w:rsidRPr="00155280">
              <w:rPr>
                <w:color w:val="FF0000"/>
                <w:sz w:val="20"/>
                <w:szCs w:val="20"/>
              </w:rPr>
              <w:t>[8</w:t>
            </w:r>
            <w:r w:rsidR="00C33565" w:rsidRPr="00155280">
              <w:rPr>
                <w:color w:val="FF0000"/>
                <w:sz w:val="20"/>
                <w:szCs w:val="20"/>
              </w:rPr>
              <w:t>]</w:t>
            </w:r>
          </w:p>
          <w:p w:rsidR="00981CBB" w:rsidRPr="00155280" w:rsidRDefault="00981CBB" w:rsidP="001F3C7E">
            <w:pPr>
              <w:jc w:val="center"/>
              <w:rPr>
                <w:color w:val="FF0000"/>
                <w:sz w:val="20"/>
                <w:szCs w:val="20"/>
              </w:rPr>
            </w:pPr>
          </w:p>
        </w:tc>
        <w:tc>
          <w:tcPr>
            <w:tcW w:w="2418" w:type="dxa"/>
            <w:tcBorders>
              <w:top w:val="nil"/>
              <w:left w:val="nil"/>
              <w:bottom w:val="single" w:sz="4" w:space="0" w:color="auto"/>
              <w:right w:val="single" w:sz="4" w:space="0" w:color="auto"/>
            </w:tcBorders>
            <w:shd w:val="clear" w:color="auto" w:fill="auto"/>
            <w:noWrap/>
            <w:vAlign w:val="center"/>
            <w:hideMark/>
          </w:tcPr>
          <w:p w:rsidR="00B75DF4" w:rsidRPr="001248EE" w:rsidRDefault="00B75DF4" w:rsidP="00EC345B">
            <w:pPr>
              <w:jc w:val="center"/>
              <w:rPr>
                <w:sz w:val="20"/>
                <w:szCs w:val="20"/>
              </w:rPr>
            </w:pPr>
          </w:p>
          <w:p w:rsidR="007A70D2" w:rsidRDefault="00C33565" w:rsidP="007A70D2">
            <w:pPr>
              <w:jc w:val="center"/>
              <w:rPr>
                <w:sz w:val="20"/>
                <w:szCs w:val="20"/>
              </w:rPr>
            </w:pPr>
            <w:r w:rsidRPr="001248EE">
              <w:rPr>
                <w:sz w:val="20"/>
                <w:szCs w:val="20"/>
              </w:rPr>
              <w:t>Examined whether HPV vaccine acceptance improved over 8 weeks (about 2 months) following im</w:t>
            </w:r>
            <w:r w:rsidR="00E42D9B" w:rsidRPr="001248EE">
              <w:rPr>
                <w:sz w:val="20"/>
                <w:szCs w:val="20"/>
              </w:rPr>
              <w:t xml:space="preserve">plementation of a clinic policy </w:t>
            </w:r>
            <w:r w:rsidRPr="001248EE">
              <w:rPr>
                <w:sz w:val="20"/>
                <w:szCs w:val="20"/>
              </w:rPr>
              <w:t xml:space="preserve">requiring immunization records to be reviewed at every visit along with </w:t>
            </w:r>
            <w:r w:rsidR="00EC345B" w:rsidRPr="001248EE">
              <w:rPr>
                <w:sz w:val="20"/>
                <w:szCs w:val="20"/>
              </w:rPr>
              <w:t xml:space="preserve">providing parents with </w:t>
            </w:r>
            <w:r w:rsidR="00E42D9B" w:rsidRPr="001248EE">
              <w:rPr>
                <w:sz w:val="20"/>
                <w:szCs w:val="20"/>
              </w:rPr>
              <w:t xml:space="preserve">written </w:t>
            </w:r>
            <w:r w:rsidRPr="001248EE">
              <w:rPr>
                <w:sz w:val="20"/>
                <w:szCs w:val="20"/>
              </w:rPr>
              <w:t xml:space="preserve">recommendation </w:t>
            </w:r>
            <w:r w:rsidRPr="001248EE">
              <w:rPr>
                <w:sz w:val="20"/>
                <w:szCs w:val="20"/>
              </w:rPr>
              <w:br/>
              <w:t>and education.</w:t>
            </w: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Default="00F95E6E" w:rsidP="007A70D2">
            <w:pPr>
              <w:jc w:val="center"/>
              <w:rPr>
                <w:sz w:val="20"/>
                <w:szCs w:val="20"/>
              </w:rPr>
            </w:pPr>
          </w:p>
          <w:p w:rsidR="00F95E6E" w:rsidRPr="001248EE" w:rsidRDefault="00F95E6E" w:rsidP="007A70D2">
            <w:pPr>
              <w:jc w:val="center"/>
              <w:rPr>
                <w:sz w:val="20"/>
                <w:szCs w:val="20"/>
              </w:rPr>
            </w:pPr>
          </w:p>
        </w:tc>
        <w:tc>
          <w:tcPr>
            <w:tcW w:w="2016" w:type="dxa"/>
            <w:tcBorders>
              <w:top w:val="nil"/>
              <w:left w:val="nil"/>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1248EE">
              <w:rPr>
                <w:sz w:val="20"/>
                <w:szCs w:val="20"/>
              </w:rPr>
              <w:lastRenderedPageBreak/>
              <w:t>Used the Plan, do, Study, Act model to implement intervent</w:t>
            </w:r>
            <w:r w:rsidR="00E42D9B" w:rsidRPr="001248EE">
              <w:rPr>
                <w:sz w:val="20"/>
                <w:szCs w:val="20"/>
              </w:rPr>
              <w:t xml:space="preserve">ions and make policy changes to </w:t>
            </w:r>
            <w:r w:rsidR="00A2444E" w:rsidRPr="001248EE">
              <w:rPr>
                <w:sz w:val="20"/>
                <w:szCs w:val="20"/>
              </w:rPr>
              <w:t xml:space="preserve">decrease missed </w:t>
            </w:r>
            <w:r w:rsidRPr="001248EE">
              <w:rPr>
                <w:sz w:val="20"/>
                <w:szCs w:val="20"/>
              </w:rPr>
              <w:t>opportunities.</w:t>
            </w:r>
          </w:p>
          <w:p w:rsidR="007A70D2" w:rsidRPr="001248EE" w:rsidRDefault="007A70D2" w:rsidP="001F3C7E">
            <w:pPr>
              <w:jc w:val="center"/>
              <w:rPr>
                <w:sz w:val="20"/>
                <w:szCs w:val="20"/>
              </w:rPr>
            </w:pPr>
          </w:p>
        </w:tc>
        <w:tc>
          <w:tcPr>
            <w:tcW w:w="2754" w:type="dxa"/>
            <w:tcBorders>
              <w:top w:val="nil"/>
              <w:left w:val="nil"/>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1248EE">
              <w:rPr>
                <w:sz w:val="20"/>
                <w:szCs w:val="20"/>
              </w:rPr>
              <w:t>HPV vaccine acceptance and vaccination rates can be increased in the SBHC setting</w:t>
            </w:r>
          </w:p>
          <w:p w:rsidR="007A70D2" w:rsidRPr="001248EE" w:rsidRDefault="007A70D2" w:rsidP="001F3C7E">
            <w:pPr>
              <w:jc w:val="center"/>
              <w:rPr>
                <w:sz w:val="20"/>
                <w:szCs w:val="20"/>
              </w:rPr>
            </w:pPr>
          </w:p>
        </w:tc>
        <w:tc>
          <w:tcPr>
            <w:tcW w:w="3447" w:type="dxa"/>
            <w:tcBorders>
              <w:top w:val="nil"/>
              <w:left w:val="nil"/>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1248EE">
              <w:rPr>
                <w:sz w:val="20"/>
                <w:szCs w:val="20"/>
              </w:rPr>
              <w:t xml:space="preserve">HPV vaccine </w:t>
            </w:r>
            <w:r w:rsidR="00057EA2" w:rsidRPr="001248EE">
              <w:rPr>
                <w:sz w:val="20"/>
                <w:szCs w:val="20"/>
              </w:rPr>
              <w:t xml:space="preserve">acceptance and </w:t>
            </w:r>
            <w:r w:rsidRPr="001248EE">
              <w:rPr>
                <w:sz w:val="20"/>
                <w:szCs w:val="20"/>
              </w:rPr>
              <w:t>vaccination rates can be increased in the SBHC setting</w:t>
            </w:r>
          </w:p>
          <w:p w:rsidR="007A70D2" w:rsidRPr="001248EE" w:rsidRDefault="007A70D2" w:rsidP="001F3C7E">
            <w:pPr>
              <w:jc w:val="center"/>
              <w:rPr>
                <w:sz w:val="20"/>
                <w:szCs w:val="20"/>
              </w:rPr>
            </w:pP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5280" w:rsidRDefault="009742A1" w:rsidP="009742A1">
            <w:pPr>
              <w:jc w:val="center"/>
              <w:rPr>
                <w:color w:val="FF0000"/>
                <w:sz w:val="20"/>
                <w:szCs w:val="20"/>
              </w:rPr>
            </w:pPr>
            <w:r w:rsidRPr="00155280">
              <w:rPr>
                <w:color w:val="FF0000"/>
                <w:sz w:val="20"/>
                <w:szCs w:val="20"/>
              </w:rPr>
              <w:t>[9</w:t>
            </w:r>
            <w:r w:rsidR="00C33565" w:rsidRPr="00155280">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F95E6E" w:rsidRDefault="00C33565" w:rsidP="001F3C7E">
            <w:pPr>
              <w:jc w:val="center"/>
              <w:rPr>
                <w:sz w:val="20"/>
                <w:szCs w:val="20"/>
              </w:rPr>
            </w:pPr>
            <w:r w:rsidRPr="00F95E6E">
              <w:rPr>
                <w:sz w:val="20"/>
                <w:szCs w:val="20"/>
              </w:rPr>
              <w:t>Can school located vaccination have a major impact on human papillomavirus vaccination rates in the United States?</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F95E6E" w:rsidRDefault="00C33565" w:rsidP="001F3C7E">
            <w:pPr>
              <w:jc w:val="center"/>
              <w:rPr>
                <w:sz w:val="20"/>
                <w:szCs w:val="20"/>
              </w:rPr>
            </w:pPr>
            <w:r w:rsidRPr="00F95E6E">
              <w:rPr>
                <w:sz w:val="20"/>
                <w:szCs w:val="20"/>
              </w:rPr>
              <w:t>Meta-analysis of studies published between 2007-2014</w:t>
            </w:r>
          </w:p>
        </w:tc>
        <w:tc>
          <w:tcPr>
            <w:tcW w:w="2754" w:type="dxa"/>
            <w:tcBorders>
              <w:top w:val="nil"/>
              <w:left w:val="nil"/>
              <w:bottom w:val="single" w:sz="4" w:space="0" w:color="auto"/>
              <w:right w:val="single" w:sz="4" w:space="0" w:color="auto"/>
            </w:tcBorders>
            <w:shd w:val="clear" w:color="auto" w:fill="auto"/>
            <w:noWrap/>
            <w:vAlign w:val="bottom"/>
            <w:hideMark/>
          </w:tcPr>
          <w:p w:rsidR="009C5102" w:rsidRPr="00F95E6E" w:rsidRDefault="009C5102" w:rsidP="00057EA2">
            <w:pPr>
              <w:jc w:val="center"/>
              <w:rPr>
                <w:sz w:val="20"/>
                <w:szCs w:val="20"/>
              </w:rPr>
            </w:pPr>
          </w:p>
          <w:p w:rsidR="00C33565" w:rsidRPr="00F95E6E" w:rsidRDefault="00C33565" w:rsidP="00057EA2">
            <w:pPr>
              <w:jc w:val="center"/>
              <w:rPr>
                <w:sz w:val="20"/>
                <w:szCs w:val="20"/>
              </w:rPr>
            </w:pPr>
            <w:r w:rsidRPr="00F95E6E">
              <w:rPr>
                <w:sz w:val="20"/>
                <w:szCs w:val="20"/>
              </w:rPr>
              <w:t xml:space="preserve">SBHC’s have more of the infrastructure in place to deliver routine vaccines and to bill; however, most focus on low-income </w:t>
            </w:r>
            <w:r w:rsidR="00057EA2" w:rsidRPr="00F95E6E">
              <w:rPr>
                <w:sz w:val="20"/>
                <w:szCs w:val="20"/>
              </w:rPr>
              <w:t>a</w:t>
            </w:r>
            <w:r w:rsidRPr="00F95E6E">
              <w:rPr>
                <w:sz w:val="20"/>
                <w:szCs w:val="20"/>
              </w:rPr>
              <w:t>dolescents and have not billed for vaccinations. SBHC are in very few schools nationally and therefore their potential for increasing HPV rates nationally is small. Reimbursement issues stay and unless that can be fixed, HPV delivery in schools may not be increased.</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F95E6E" w:rsidRDefault="00C33565" w:rsidP="001F3C7E">
            <w:pPr>
              <w:jc w:val="center"/>
              <w:rPr>
                <w:sz w:val="20"/>
                <w:szCs w:val="20"/>
              </w:rPr>
            </w:pPr>
            <w:r w:rsidRPr="00F95E6E">
              <w:rPr>
                <w:sz w:val="20"/>
                <w:szCs w:val="20"/>
              </w:rPr>
              <w:t>Very few schools have a SBHC</w:t>
            </w:r>
            <w:r w:rsidR="00057EA2" w:rsidRPr="00F95E6E">
              <w:rPr>
                <w:sz w:val="20"/>
                <w:szCs w:val="20"/>
              </w:rPr>
              <w:t xml:space="preserve">. The reimbursement and billing </w:t>
            </w:r>
            <w:r w:rsidRPr="00F95E6E">
              <w:rPr>
                <w:sz w:val="20"/>
                <w:szCs w:val="20"/>
              </w:rPr>
              <w:t>should be fixed to increase vaccination for HPV. Right now, most programs focus on the low</w:t>
            </w:r>
            <w:r w:rsidR="00F95E6E">
              <w:rPr>
                <w:sz w:val="20"/>
                <w:szCs w:val="20"/>
              </w:rPr>
              <w:t xml:space="preserve"> </w:t>
            </w:r>
            <w:r w:rsidRPr="00F95E6E">
              <w:rPr>
                <w:sz w:val="20"/>
                <w:szCs w:val="20"/>
              </w:rPr>
              <w:t xml:space="preserve">income adolescent. </w:t>
            </w:r>
            <w:r w:rsidR="00F95E6E" w:rsidRPr="00F95E6E">
              <w:rPr>
                <w:sz w:val="20"/>
                <w:szCs w:val="20"/>
              </w:rPr>
              <w:t>This</w:t>
            </w:r>
            <w:r w:rsidRPr="00F95E6E">
              <w:rPr>
                <w:sz w:val="20"/>
                <w:szCs w:val="20"/>
              </w:rPr>
              <w:t xml:space="preserve"> is a barrier to students who may have other forms of payment as they do not qualify for the VFC vaccine.</w:t>
            </w:r>
          </w:p>
        </w:tc>
      </w:tr>
      <w:tr w:rsidR="00C33565" w:rsidRPr="00D978DC" w:rsidTr="00470D89">
        <w:trPr>
          <w:trHeight w:val="3308"/>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33565" w:rsidRPr="00155280" w:rsidRDefault="00C33565" w:rsidP="007D7C4C">
            <w:pPr>
              <w:jc w:val="center"/>
              <w:rPr>
                <w:color w:val="FF0000"/>
                <w:sz w:val="20"/>
                <w:szCs w:val="20"/>
              </w:rPr>
            </w:pPr>
            <w:r w:rsidRPr="00155280">
              <w:rPr>
                <w:color w:val="FF0000"/>
                <w:sz w:val="20"/>
                <w:szCs w:val="20"/>
              </w:rPr>
              <w:t>[</w:t>
            </w:r>
            <w:r w:rsidR="007D7C4C" w:rsidRPr="00155280">
              <w:rPr>
                <w:color w:val="FF0000"/>
                <w:sz w:val="20"/>
                <w:szCs w:val="20"/>
              </w:rPr>
              <w:t>10</w:t>
            </w:r>
            <w:r w:rsidRPr="00155280">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F95E6E" w:rsidRDefault="00C33565" w:rsidP="00E42D9B">
            <w:pPr>
              <w:rPr>
                <w:sz w:val="20"/>
                <w:szCs w:val="20"/>
              </w:rPr>
            </w:pPr>
            <w:r w:rsidRPr="00F95E6E">
              <w:rPr>
                <w:sz w:val="20"/>
                <w:szCs w:val="20"/>
              </w:rPr>
              <w:t>Adolescent immunization delivery in school-based health centers: a national survey</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F95E6E" w:rsidRDefault="00E42D9B" w:rsidP="001F3C7E">
            <w:pPr>
              <w:jc w:val="center"/>
              <w:rPr>
                <w:sz w:val="20"/>
                <w:szCs w:val="20"/>
              </w:rPr>
            </w:pPr>
            <w:r w:rsidRPr="00F95E6E">
              <w:rPr>
                <w:sz w:val="20"/>
                <w:szCs w:val="20"/>
              </w:rPr>
              <w:t xml:space="preserve">Adolescent </w:t>
            </w:r>
            <w:r w:rsidR="00C33565" w:rsidRPr="00F95E6E">
              <w:rPr>
                <w:sz w:val="20"/>
                <w:szCs w:val="20"/>
              </w:rPr>
              <w:t>immunization delivery in school-b</w:t>
            </w:r>
            <w:r w:rsidRPr="00F95E6E">
              <w:rPr>
                <w:sz w:val="20"/>
                <w:szCs w:val="20"/>
              </w:rPr>
              <w:t xml:space="preserve">ased health centers: a national </w:t>
            </w:r>
            <w:r w:rsidR="00C33565" w:rsidRPr="00F95E6E">
              <w:rPr>
                <w:sz w:val="20"/>
                <w:szCs w:val="20"/>
              </w:rPr>
              <w:t>survey</w:t>
            </w:r>
          </w:p>
        </w:tc>
        <w:tc>
          <w:tcPr>
            <w:tcW w:w="2754" w:type="dxa"/>
            <w:tcBorders>
              <w:top w:val="nil"/>
              <w:left w:val="nil"/>
              <w:bottom w:val="single" w:sz="4" w:space="0" w:color="auto"/>
              <w:right w:val="single" w:sz="4" w:space="0" w:color="auto"/>
            </w:tcBorders>
            <w:shd w:val="clear" w:color="auto" w:fill="auto"/>
            <w:noWrap/>
            <w:vAlign w:val="center"/>
            <w:hideMark/>
          </w:tcPr>
          <w:p w:rsidR="00C33565" w:rsidRPr="00F95E6E" w:rsidRDefault="00C33565" w:rsidP="009B06B7">
            <w:pPr>
              <w:jc w:val="center"/>
              <w:rPr>
                <w:sz w:val="20"/>
                <w:szCs w:val="20"/>
              </w:rPr>
            </w:pPr>
            <w:r w:rsidRPr="00F95E6E">
              <w:rPr>
                <w:sz w:val="20"/>
                <w:szCs w:val="20"/>
              </w:rPr>
              <w:t xml:space="preserve">Summary of findings: SBHCs appear to be a good resource for delivering vaccines. There are few SBHCs nationally. SBHCs appear </w:t>
            </w:r>
            <w:r w:rsidRPr="00F95E6E">
              <w:rPr>
                <w:sz w:val="20"/>
                <w:szCs w:val="20"/>
              </w:rPr>
              <w:br/>
              <w:t>to be an important resource, particularly for low income and uninsured adolescents</w:t>
            </w:r>
            <w:r w:rsidR="00E42D9B" w:rsidRPr="00F95E6E">
              <w:rPr>
                <w:sz w:val="20"/>
                <w:szCs w:val="20"/>
              </w:rPr>
              <w:t xml:space="preserve"> </w:t>
            </w:r>
            <w:r w:rsidRPr="00F95E6E">
              <w:rPr>
                <w:sz w:val="20"/>
                <w:szCs w:val="20"/>
              </w:rPr>
              <w:t>who may have limited access to vaccination elsewhere. SBHCs</w:t>
            </w:r>
            <w:r w:rsidR="00E42D9B" w:rsidRPr="00F95E6E">
              <w:rPr>
                <w:sz w:val="20"/>
                <w:szCs w:val="20"/>
              </w:rPr>
              <w:t xml:space="preserve"> appear </w:t>
            </w:r>
            <w:r w:rsidR="00E42D9B" w:rsidRPr="00F95E6E">
              <w:rPr>
                <w:sz w:val="20"/>
                <w:szCs w:val="20"/>
              </w:rPr>
              <w:br/>
              <w:t xml:space="preserve">to be a good means of </w:t>
            </w:r>
            <w:r w:rsidRPr="00F95E6E">
              <w:rPr>
                <w:sz w:val="20"/>
                <w:szCs w:val="20"/>
              </w:rPr>
              <w:t>expanding access.</w:t>
            </w:r>
          </w:p>
        </w:tc>
        <w:tc>
          <w:tcPr>
            <w:tcW w:w="3447" w:type="dxa"/>
            <w:tcBorders>
              <w:top w:val="nil"/>
              <w:left w:val="nil"/>
              <w:bottom w:val="single" w:sz="4" w:space="0" w:color="auto"/>
              <w:right w:val="single" w:sz="4" w:space="0" w:color="auto"/>
            </w:tcBorders>
            <w:shd w:val="clear" w:color="auto" w:fill="auto"/>
            <w:noWrap/>
            <w:vAlign w:val="center"/>
            <w:hideMark/>
          </w:tcPr>
          <w:p w:rsidR="00C33565" w:rsidRPr="00F95E6E" w:rsidRDefault="00C33565" w:rsidP="00E42D9B">
            <w:pPr>
              <w:jc w:val="center"/>
              <w:rPr>
                <w:sz w:val="20"/>
                <w:szCs w:val="20"/>
              </w:rPr>
            </w:pPr>
            <w:r w:rsidRPr="00F95E6E">
              <w:rPr>
                <w:sz w:val="20"/>
                <w:szCs w:val="20"/>
              </w:rPr>
              <w:t xml:space="preserve">SBHC can be an important resource for vaccinations, especially low income and uninsured adolescents. </w:t>
            </w:r>
            <w:r w:rsidR="00E42D9B" w:rsidRPr="00F95E6E">
              <w:rPr>
                <w:sz w:val="20"/>
                <w:szCs w:val="20"/>
              </w:rPr>
              <w:br/>
              <w:t xml:space="preserve">Reminder recalls should be </w:t>
            </w:r>
            <w:r w:rsidRPr="00F95E6E">
              <w:rPr>
                <w:sz w:val="20"/>
                <w:szCs w:val="20"/>
              </w:rPr>
              <w:t xml:space="preserve">implemented. </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33565" w:rsidRPr="00155280" w:rsidRDefault="00452CCB" w:rsidP="001F3C7E">
            <w:pPr>
              <w:jc w:val="center"/>
              <w:rPr>
                <w:color w:val="FF0000"/>
                <w:sz w:val="20"/>
                <w:szCs w:val="20"/>
              </w:rPr>
            </w:pPr>
            <w:r w:rsidRPr="00155280">
              <w:rPr>
                <w:color w:val="FF0000"/>
                <w:sz w:val="20"/>
                <w:szCs w:val="20"/>
              </w:rPr>
              <w:t>[11</w:t>
            </w:r>
            <w:r w:rsidR="00C33565" w:rsidRPr="00155280">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center"/>
            <w:hideMark/>
          </w:tcPr>
          <w:p w:rsidR="00C33565" w:rsidRPr="00F95E6E" w:rsidRDefault="00C33565" w:rsidP="001F3C7E">
            <w:pPr>
              <w:jc w:val="center"/>
              <w:rPr>
                <w:sz w:val="20"/>
                <w:szCs w:val="20"/>
              </w:rPr>
            </w:pPr>
            <w:r w:rsidRPr="00F95E6E">
              <w:rPr>
                <w:sz w:val="20"/>
                <w:szCs w:val="20"/>
              </w:rPr>
              <w:t>Addressing adolescent immunization disparities: a retrospective analysis of school-based health center immunization delivery</w:t>
            </w:r>
          </w:p>
        </w:tc>
        <w:tc>
          <w:tcPr>
            <w:tcW w:w="2016" w:type="dxa"/>
            <w:tcBorders>
              <w:top w:val="nil"/>
              <w:left w:val="nil"/>
              <w:bottom w:val="single" w:sz="4" w:space="0" w:color="auto"/>
              <w:right w:val="single" w:sz="4" w:space="0" w:color="auto"/>
            </w:tcBorders>
            <w:shd w:val="clear" w:color="auto" w:fill="auto"/>
            <w:noWrap/>
            <w:vAlign w:val="center"/>
            <w:hideMark/>
          </w:tcPr>
          <w:p w:rsidR="00C33565" w:rsidRPr="00F95E6E" w:rsidRDefault="00C33565" w:rsidP="001F3C7E">
            <w:pPr>
              <w:jc w:val="center"/>
              <w:rPr>
                <w:sz w:val="20"/>
                <w:szCs w:val="20"/>
              </w:rPr>
            </w:pPr>
            <w:r w:rsidRPr="00F95E6E">
              <w:rPr>
                <w:sz w:val="20"/>
                <w:szCs w:val="20"/>
              </w:rPr>
              <w:t>Retrospective cohort analysis of children and adolescents who received care within the Denver Health system.</w:t>
            </w:r>
          </w:p>
        </w:tc>
        <w:tc>
          <w:tcPr>
            <w:tcW w:w="2754" w:type="dxa"/>
            <w:tcBorders>
              <w:top w:val="nil"/>
              <w:left w:val="nil"/>
              <w:bottom w:val="single" w:sz="4" w:space="0" w:color="auto"/>
              <w:right w:val="single" w:sz="4" w:space="0" w:color="auto"/>
            </w:tcBorders>
            <w:shd w:val="clear" w:color="auto" w:fill="auto"/>
            <w:noWrap/>
            <w:vAlign w:val="center"/>
            <w:hideMark/>
          </w:tcPr>
          <w:p w:rsidR="00C33565" w:rsidRDefault="00C33565" w:rsidP="001F3C7E">
            <w:pPr>
              <w:jc w:val="center"/>
              <w:rPr>
                <w:sz w:val="20"/>
                <w:szCs w:val="20"/>
              </w:rPr>
            </w:pPr>
            <w:r w:rsidRPr="00F95E6E">
              <w:rPr>
                <w:sz w:val="20"/>
                <w:szCs w:val="20"/>
              </w:rPr>
              <w:t xml:space="preserve">SBHCs appear to be a favorable site for HPV vaccination. The authors found the SBHCs to be superior to CHC as a setting for completion of adolescent immunization series. SBHCs can supply reminder recalls, depending on the financial arrangement, many can take patients no </w:t>
            </w:r>
            <w:r w:rsidRPr="00F95E6E">
              <w:rPr>
                <w:sz w:val="20"/>
                <w:szCs w:val="20"/>
              </w:rPr>
              <w:br/>
              <w:t xml:space="preserve">matter their ability to pay, </w:t>
            </w:r>
            <w:r w:rsidRPr="00F95E6E">
              <w:rPr>
                <w:sz w:val="20"/>
                <w:szCs w:val="20"/>
              </w:rPr>
              <w:br/>
              <w:t xml:space="preserve">parents are not missing work, </w:t>
            </w: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Default="00F95E6E" w:rsidP="001F3C7E">
            <w:pPr>
              <w:jc w:val="center"/>
              <w:rPr>
                <w:sz w:val="20"/>
                <w:szCs w:val="20"/>
              </w:rPr>
            </w:pPr>
          </w:p>
          <w:p w:rsidR="00F95E6E" w:rsidRPr="00F95E6E" w:rsidRDefault="00F95E6E" w:rsidP="001F3C7E">
            <w:pPr>
              <w:jc w:val="center"/>
              <w:rPr>
                <w:sz w:val="20"/>
                <w:szCs w:val="20"/>
              </w:rPr>
            </w:pPr>
          </w:p>
        </w:tc>
        <w:tc>
          <w:tcPr>
            <w:tcW w:w="3447" w:type="dxa"/>
            <w:tcBorders>
              <w:top w:val="nil"/>
              <w:left w:val="nil"/>
              <w:bottom w:val="single" w:sz="4" w:space="0" w:color="auto"/>
              <w:right w:val="single" w:sz="4" w:space="0" w:color="auto"/>
            </w:tcBorders>
            <w:shd w:val="clear" w:color="auto" w:fill="auto"/>
            <w:noWrap/>
            <w:vAlign w:val="center"/>
            <w:hideMark/>
          </w:tcPr>
          <w:p w:rsidR="00C33565" w:rsidRPr="00F95E6E" w:rsidRDefault="00C33565" w:rsidP="001F3C7E">
            <w:pPr>
              <w:jc w:val="center"/>
              <w:rPr>
                <w:sz w:val="20"/>
                <w:szCs w:val="20"/>
              </w:rPr>
            </w:pPr>
            <w:r w:rsidRPr="00F95E6E">
              <w:rPr>
                <w:sz w:val="20"/>
                <w:szCs w:val="20"/>
              </w:rPr>
              <w:lastRenderedPageBreak/>
              <w:t>At the time of this study, there are no federal dollars for sustainable programs. New policies should be promoted to enhance financial viability of SBHCs allowing them to expand and deliver more care.</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EB06CA" w:rsidRDefault="00C33565" w:rsidP="008721C9">
            <w:pPr>
              <w:jc w:val="center"/>
              <w:rPr>
                <w:color w:val="FF0000"/>
                <w:sz w:val="20"/>
                <w:szCs w:val="20"/>
              </w:rPr>
            </w:pPr>
            <w:r w:rsidRPr="00D978DC">
              <w:rPr>
                <w:color w:val="FF0000"/>
                <w:sz w:val="20"/>
                <w:szCs w:val="20"/>
              </w:rPr>
              <w:t>[1</w:t>
            </w:r>
            <w:r w:rsidR="008721C9">
              <w:rPr>
                <w:color w:val="FF0000"/>
                <w:sz w:val="20"/>
                <w:szCs w:val="20"/>
              </w:rPr>
              <w:t>2</w:t>
            </w:r>
            <w:r w:rsidRPr="00D978DC">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Reducing missed opportunities for human papillomavirus vaccination in school-based health centers: impact of an intervention</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Multicomponent intervention consisting of 3 immunization process workflow modifications</w:t>
            </w:r>
          </w:p>
        </w:tc>
        <w:tc>
          <w:tcPr>
            <w:tcW w:w="2754" w:type="dxa"/>
            <w:tcBorders>
              <w:top w:val="nil"/>
              <w:left w:val="nil"/>
              <w:bottom w:val="single" w:sz="4" w:space="0" w:color="auto"/>
              <w:right w:val="single" w:sz="4" w:space="0" w:color="auto"/>
            </w:tcBorders>
            <w:shd w:val="clear" w:color="auto" w:fill="auto"/>
            <w:noWrap/>
            <w:vAlign w:val="bottom"/>
            <w:hideMark/>
          </w:tcPr>
          <w:p w:rsidR="00F95E6E" w:rsidRDefault="00F95E6E" w:rsidP="001F3C7E">
            <w:pPr>
              <w:jc w:val="center"/>
              <w:rPr>
                <w:color w:val="000000"/>
                <w:sz w:val="20"/>
                <w:szCs w:val="20"/>
              </w:rPr>
            </w:pPr>
          </w:p>
          <w:p w:rsidR="00C33565" w:rsidRPr="00EB06CA" w:rsidRDefault="00C33565" w:rsidP="001F3C7E">
            <w:pPr>
              <w:jc w:val="center"/>
              <w:rPr>
                <w:color w:val="000000"/>
                <w:sz w:val="20"/>
                <w:szCs w:val="20"/>
              </w:rPr>
            </w:pPr>
            <w:r w:rsidRPr="00EB06CA">
              <w:rPr>
                <w:color w:val="000000"/>
                <w:sz w:val="20"/>
                <w:szCs w:val="20"/>
              </w:rPr>
              <w:t>School based vaccination has been effective at increasing HPV vaccine coverage rates among teens internationally, but challenges with billing for vaccine and collaborating with underfunded school districts still limit potential.</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School based vaccination has been effective at increasing HPV vaccine coverage rates among teens internationally, but challenges with billing for vaccine and collaborating with underfunded school districts still limit potential.</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EB06CA" w:rsidRDefault="00C33565" w:rsidP="00123F84">
            <w:pPr>
              <w:jc w:val="center"/>
              <w:rPr>
                <w:color w:val="FF0000"/>
                <w:sz w:val="20"/>
                <w:szCs w:val="20"/>
              </w:rPr>
            </w:pPr>
            <w:r w:rsidRPr="00D978DC">
              <w:rPr>
                <w:color w:val="FF0000"/>
                <w:sz w:val="20"/>
                <w:szCs w:val="20"/>
              </w:rPr>
              <w:t>[1</w:t>
            </w:r>
            <w:r w:rsidR="00123F84">
              <w:rPr>
                <w:color w:val="FF0000"/>
                <w:sz w:val="20"/>
                <w:szCs w:val="20"/>
              </w:rPr>
              <w:t>3</w:t>
            </w:r>
            <w:r w:rsidRPr="00D978DC">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Conducted a process evaluation of an intervention to increase SHC (Student Health Clinic) to better understand the feasibility and challenges of such interventions to increase vaccinations to 2,975 adolescents.</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A process evaluation</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School health clinics have appeared as a potentially important avenue for increasing vaccination rates among adolescents. With little investment, SHC can increase the number of vaccinated adolescents.</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 xml:space="preserve">For consent, a checkbox should be implemented to give global consent for vaccines. A checkbox for refusal. The staff can follow up with the parents and understand why they refused. </w:t>
            </w:r>
            <w:r w:rsidR="00230953" w:rsidRPr="00EB06CA">
              <w:rPr>
                <w:color w:val="000000"/>
                <w:sz w:val="20"/>
                <w:szCs w:val="20"/>
              </w:rPr>
              <w:t>Also,</w:t>
            </w:r>
            <w:r w:rsidRPr="00EB06CA">
              <w:rPr>
                <w:color w:val="000000"/>
                <w:sz w:val="20"/>
                <w:szCs w:val="20"/>
              </w:rPr>
              <w:t xml:space="preserve"> encourage collaboration.</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EB06CA" w:rsidRDefault="00577161" w:rsidP="001F3C7E">
            <w:pPr>
              <w:jc w:val="center"/>
              <w:rPr>
                <w:color w:val="FF0000"/>
                <w:sz w:val="20"/>
                <w:szCs w:val="20"/>
              </w:rPr>
            </w:pPr>
            <w:r>
              <w:rPr>
                <w:color w:val="FF0000"/>
                <w:sz w:val="20"/>
                <w:szCs w:val="20"/>
              </w:rPr>
              <w:t>[14</w:t>
            </w:r>
            <w:r w:rsidR="00C33565" w:rsidRPr="00D978DC">
              <w:rPr>
                <w:color w:val="FF0000"/>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Conducted a mixed methods study of parents and adolescents to examine acceptability of and perceived facilitators and barriers to HPV vaccination at SBHC’s among parents and adolescents living in a geographic area with access to SBHC’s.</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A mixed methods study</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HPV vaccines visit at SBHC were acceptable, and SBHC users expressed more favorable attitudes. Barriers to HPV vaccination at SBHCs can be addressed through more education about SBHC role and improvement of system to coordinate care.</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EB06CA" w:rsidRDefault="00C33565" w:rsidP="001F3C7E">
            <w:pPr>
              <w:jc w:val="center"/>
              <w:rPr>
                <w:color w:val="000000"/>
                <w:sz w:val="20"/>
                <w:szCs w:val="20"/>
              </w:rPr>
            </w:pPr>
            <w:r w:rsidRPr="00EB06CA">
              <w:rPr>
                <w:color w:val="000000"/>
                <w:sz w:val="20"/>
                <w:szCs w:val="20"/>
              </w:rPr>
              <w:t>Next steps for SBHCs can take to raise adolescent HPV vaccine. Target HPV reminder systems, enhance attitudes toward vaccination at SBHC by interventions, outreach campaigns to raise awareness, structured protocols to communicate with other h.c. providers about immunization given at SBHC.</w:t>
            </w:r>
          </w:p>
        </w:tc>
      </w:tr>
      <w:tr w:rsidR="00C33565" w:rsidRPr="00D978DC"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C33565" w:rsidRPr="00EB06CA" w:rsidRDefault="00C33565" w:rsidP="001F3C7E">
            <w:pPr>
              <w:jc w:val="center"/>
              <w:rPr>
                <w:color w:val="FF0000"/>
                <w:sz w:val="20"/>
                <w:szCs w:val="20"/>
              </w:rPr>
            </w:pPr>
            <w:r w:rsidRPr="00D978DC">
              <w:rPr>
                <w:color w:val="FF0000"/>
                <w:sz w:val="20"/>
                <w:szCs w:val="20"/>
              </w:rPr>
              <w:t>[5]</w:t>
            </w:r>
          </w:p>
        </w:tc>
        <w:tc>
          <w:tcPr>
            <w:tcW w:w="2418" w:type="dxa"/>
            <w:tcBorders>
              <w:top w:val="nil"/>
              <w:left w:val="nil"/>
              <w:bottom w:val="single" w:sz="4" w:space="0" w:color="auto"/>
              <w:right w:val="single" w:sz="4" w:space="0" w:color="auto"/>
            </w:tcBorders>
            <w:shd w:val="clear" w:color="auto" w:fill="auto"/>
            <w:noWrap/>
            <w:vAlign w:val="center"/>
            <w:hideMark/>
          </w:tcPr>
          <w:p w:rsidR="00C33565" w:rsidRPr="00EB06CA" w:rsidRDefault="00C33565" w:rsidP="001F3C7E">
            <w:pPr>
              <w:jc w:val="center"/>
              <w:rPr>
                <w:color w:val="000000"/>
                <w:sz w:val="20"/>
                <w:szCs w:val="20"/>
              </w:rPr>
            </w:pPr>
            <w:r w:rsidRPr="00EB06CA">
              <w:rPr>
                <w:color w:val="000000"/>
                <w:sz w:val="20"/>
                <w:szCs w:val="20"/>
              </w:rPr>
              <w:t>Study aimed to improve understanding of HPV vaccination services in school health centers and to find the barriers for providing the vaccine. Also sought to assess the viability of potential interventions to increase HPV vaccine in the centers.</w:t>
            </w:r>
          </w:p>
        </w:tc>
        <w:tc>
          <w:tcPr>
            <w:tcW w:w="2016" w:type="dxa"/>
            <w:tcBorders>
              <w:top w:val="nil"/>
              <w:left w:val="nil"/>
              <w:bottom w:val="single" w:sz="4" w:space="0" w:color="auto"/>
              <w:right w:val="single" w:sz="4" w:space="0" w:color="auto"/>
            </w:tcBorders>
            <w:shd w:val="clear" w:color="auto" w:fill="auto"/>
            <w:noWrap/>
            <w:vAlign w:val="center"/>
            <w:hideMark/>
          </w:tcPr>
          <w:p w:rsidR="00C33565" w:rsidRPr="00EB06CA" w:rsidRDefault="00C33565" w:rsidP="004D1BD6">
            <w:pPr>
              <w:jc w:val="center"/>
              <w:rPr>
                <w:color w:val="000000"/>
                <w:sz w:val="20"/>
                <w:szCs w:val="20"/>
              </w:rPr>
            </w:pPr>
            <w:r w:rsidRPr="00EB06CA">
              <w:rPr>
                <w:color w:val="000000"/>
                <w:sz w:val="20"/>
                <w:szCs w:val="20"/>
              </w:rPr>
              <w:t>Interviews Structured telephone questionnaire that focused on school health center vaccination services and procedures, barriers to providing HPV vaccine, and</w:t>
            </w:r>
            <w:r w:rsidR="004D1BD6">
              <w:rPr>
                <w:color w:val="000000"/>
                <w:sz w:val="20"/>
                <w:szCs w:val="20"/>
              </w:rPr>
              <w:t xml:space="preserve"> </w:t>
            </w:r>
            <w:r w:rsidRPr="00EB06CA">
              <w:rPr>
                <w:color w:val="000000"/>
                <w:sz w:val="20"/>
                <w:szCs w:val="20"/>
              </w:rPr>
              <w:t>potential intervention for increasing vaccine uptake.</w:t>
            </w:r>
          </w:p>
        </w:tc>
        <w:tc>
          <w:tcPr>
            <w:tcW w:w="2754" w:type="dxa"/>
            <w:tcBorders>
              <w:top w:val="nil"/>
              <w:left w:val="nil"/>
              <w:bottom w:val="single" w:sz="4" w:space="0" w:color="auto"/>
              <w:right w:val="single" w:sz="4" w:space="0" w:color="auto"/>
            </w:tcBorders>
            <w:shd w:val="clear" w:color="auto" w:fill="auto"/>
            <w:noWrap/>
            <w:vAlign w:val="center"/>
            <w:hideMark/>
          </w:tcPr>
          <w:p w:rsidR="00285A59" w:rsidRDefault="00C33565" w:rsidP="001F3C7E">
            <w:pPr>
              <w:jc w:val="center"/>
              <w:rPr>
                <w:color w:val="000000"/>
                <w:sz w:val="20"/>
                <w:szCs w:val="20"/>
              </w:rPr>
            </w:pPr>
            <w:r w:rsidRPr="00EB06CA">
              <w:rPr>
                <w:color w:val="000000"/>
                <w:sz w:val="20"/>
                <w:szCs w:val="20"/>
              </w:rPr>
              <w:t xml:space="preserve">Findings indicate that cost, parental consent, and record keeping demands limit the ability of school health centers to officer HPV vaccine. Interventions at school health centers represent important, underutilized tools that could have valuable public health </w:t>
            </w:r>
            <w:r w:rsidRPr="00EB06CA">
              <w:rPr>
                <w:color w:val="000000"/>
                <w:sz w:val="20"/>
                <w:szCs w:val="20"/>
              </w:rPr>
              <w:br/>
            </w:r>
          </w:p>
          <w:p w:rsidR="00C33565" w:rsidRDefault="00C33565" w:rsidP="00285A59">
            <w:pPr>
              <w:rPr>
                <w:color w:val="000000"/>
                <w:sz w:val="20"/>
                <w:szCs w:val="20"/>
              </w:rPr>
            </w:pPr>
            <w:r w:rsidRPr="00EB06CA">
              <w:rPr>
                <w:color w:val="000000"/>
                <w:sz w:val="20"/>
                <w:szCs w:val="20"/>
              </w:rPr>
              <w:t>impact.</w:t>
            </w: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Default="00285A59" w:rsidP="00285A59">
            <w:pPr>
              <w:rPr>
                <w:color w:val="000000"/>
                <w:sz w:val="20"/>
                <w:szCs w:val="20"/>
              </w:rPr>
            </w:pPr>
          </w:p>
          <w:p w:rsidR="00285A59" w:rsidRPr="00EB06CA" w:rsidRDefault="00285A59" w:rsidP="00285A59">
            <w:pPr>
              <w:rPr>
                <w:color w:val="000000"/>
                <w:sz w:val="20"/>
                <w:szCs w:val="20"/>
              </w:rPr>
            </w:pPr>
          </w:p>
        </w:tc>
        <w:tc>
          <w:tcPr>
            <w:tcW w:w="3447" w:type="dxa"/>
            <w:tcBorders>
              <w:top w:val="nil"/>
              <w:left w:val="nil"/>
              <w:bottom w:val="single" w:sz="4" w:space="0" w:color="auto"/>
              <w:right w:val="single" w:sz="4" w:space="0" w:color="auto"/>
            </w:tcBorders>
            <w:shd w:val="clear" w:color="auto" w:fill="auto"/>
            <w:noWrap/>
            <w:vAlign w:val="center"/>
            <w:hideMark/>
          </w:tcPr>
          <w:p w:rsidR="00C33565" w:rsidRPr="00EB06CA" w:rsidRDefault="00C33565" w:rsidP="00E42D9B">
            <w:pPr>
              <w:jc w:val="center"/>
              <w:rPr>
                <w:color w:val="000000"/>
                <w:sz w:val="20"/>
                <w:szCs w:val="20"/>
              </w:rPr>
            </w:pPr>
            <w:r w:rsidRPr="00EB06CA">
              <w:rPr>
                <w:color w:val="000000"/>
                <w:sz w:val="20"/>
                <w:szCs w:val="20"/>
              </w:rPr>
              <w:lastRenderedPageBreak/>
              <w:t xml:space="preserve">School health centers reported </w:t>
            </w:r>
            <w:r w:rsidRPr="00EB06CA">
              <w:rPr>
                <w:color w:val="000000"/>
                <w:sz w:val="20"/>
                <w:szCs w:val="20"/>
              </w:rPr>
              <w:br/>
              <w:t xml:space="preserve">facing several key arriers to </w:t>
            </w:r>
            <w:r w:rsidRPr="00EB06CA">
              <w:rPr>
                <w:color w:val="000000"/>
                <w:sz w:val="20"/>
                <w:szCs w:val="20"/>
              </w:rPr>
              <w:br/>
              <w:t xml:space="preserve">providing HPV vaccine, many </w:t>
            </w:r>
            <w:r w:rsidRPr="00EB06CA">
              <w:rPr>
                <w:color w:val="000000"/>
                <w:sz w:val="20"/>
                <w:szCs w:val="20"/>
              </w:rPr>
              <w:br/>
              <w:t xml:space="preserve">were interested in partnering with outside agencies. </w:t>
            </w:r>
            <w:r w:rsidRPr="00EB06CA">
              <w:rPr>
                <w:color w:val="000000"/>
                <w:sz w:val="20"/>
                <w:szCs w:val="20"/>
              </w:rPr>
              <w:br/>
              <w:t>On low-cost</w:t>
            </w:r>
            <w:r w:rsidR="00E42D9B">
              <w:rPr>
                <w:color w:val="000000"/>
                <w:sz w:val="20"/>
                <w:szCs w:val="20"/>
              </w:rPr>
              <w:t xml:space="preserve"> i</w:t>
            </w:r>
            <w:r w:rsidRPr="00EB06CA">
              <w:rPr>
                <w:color w:val="000000"/>
                <w:sz w:val="20"/>
                <w:szCs w:val="20"/>
              </w:rPr>
              <w:t xml:space="preserve">nterventions to </w:t>
            </w:r>
            <w:r w:rsidRPr="00EB06CA">
              <w:rPr>
                <w:color w:val="000000"/>
                <w:sz w:val="20"/>
                <w:szCs w:val="20"/>
              </w:rPr>
              <w:br/>
              <w:t xml:space="preserve">increase HPV vaccine uptake </w:t>
            </w:r>
            <w:r w:rsidRPr="00EB06CA">
              <w:rPr>
                <w:color w:val="000000"/>
                <w:sz w:val="20"/>
                <w:szCs w:val="20"/>
              </w:rPr>
              <w:br/>
              <w:t>amongst</w:t>
            </w:r>
            <w:r w:rsidR="00E42D9B">
              <w:rPr>
                <w:color w:val="000000"/>
                <w:sz w:val="20"/>
                <w:szCs w:val="20"/>
              </w:rPr>
              <w:t xml:space="preserve"> </w:t>
            </w:r>
            <w:r w:rsidRPr="00EB06CA">
              <w:rPr>
                <w:color w:val="000000"/>
                <w:sz w:val="20"/>
                <w:szCs w:val="20"/>
              </w:rPr>
              <w:t>adolescents.</w:t>
            </w:r>
            <w:r w:rsidRPr="00EB06CA">
              <w:rPr>
                <w:color w:val="000000"/>
                <w:sz w:val="20"/>
                <w:szCs w:val="20"/>
              </w:rPr>
              <w:br/>
              <w:t>Activities likely to raise HPV vaccine are student</w:t>
            </w:r>
            <w:r w:rsidRPr="00EB06CA">
              <w:rPr>
                <w:color w:val="000000"/>
                <w:sz w:val="20"/>
                <w:szCs w:val="20"/>
              </w:rPr>
              <w:br/>
              <w:t xml:space="preserve">incentives, parent reminders, and obtaining consent from parents </w:t>
            </w:r>
            <w:r w:rsidRPr="00EB06CA">
              <w:rPr>
                <w:color w:val="000000"/>
                <w:sz w:val="20"/>
                <w:szCs w:val="20"/>
              </w:rPr>
              <w:br/>
              <w:t>while they are at school.</w:t>
            </w:r>
          </w:p>
        </w:tc>
      </w:tr>
      <w:tr w:rsidR="00285A59" w:rsidRPr="00285A59"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285A59" w:rsidRPr="00285A59" w:rsidRDefault="00285A59" w:rsidP="00E87937">
            <w:pPr>
              <w:jc w:val="center"/>
              <w:rPr>
                <w:sz w:val="20"/>
                <w:szCs w:val="20"/>
              </w:rPr>
            </w:pPr>
          </w:p>
          <w:p w:rsidR="00285A59" w:rsidRPr="00285A59" w:rsidRDefault="00285A59" w:rsidP="00E87937">
            <w:pPr>
              <w:jc w:val="center"/>
              <w:rPr>
                <w:sz w:val="20"/>
                <w:szCs w:val="20"/>
              </w:rPr>
            </w:pPr>
          </w:p>
          <w:p w:rsidR="00285A59" w:rsidRPr="00285A59" w:rsidRDefault="00285A59" w:rsidP="00E87937">
            <w:pPr>
              <w:jc w:val="center"/>
              <w:rPr>
                <w:sz w:val="20"/>
                <w:szCs w:val="20"/>
              </w:rPr>
            </w:pPr>
          </w:p>
          <w:p w:rsidR="00285A59" w:rsidRPr="00285A59" w:rsidRDefault="00285A59" w:rsidP="00E87937">
            <w:pPr>
              <w:jc w:val="center"/>
              <w:rPr>
                <w:sz w:val="20"/>
                <w:szCs w:val="20"/>
              </w:rPr>
            </w:pPr>
          </w:p>
          <w:p w:rsidR="00C33565" w:rsidRDefault="00C33565" w:rsidP="00E87937">
            <w:pPr>
              <w:jc w:val="center"/>
              <w:rPr>
                <w:sz w:val="20"/>
                <w:szCs w:val="20"/>
              </w:rPr>
            </w:pPr>
            <w:r w:rsidRPr="00285A59">
              <w:rPr>
                <w:sz w:val="20"/>
                <w:szCs w:val="20"/>
              </w:rPr>
              <w:t>[1</w:t>
            </w:r>
            <w:r w:rsidR="00E87937" w:rsidRPr="00285A59">
              <w:rPr>
                <w:sz w:val="20"/>
                <w:szCs w:val="20"/>
              </w:rPr>
              <w:t>5</w:t>
            </w:r>
            <w:r w:rsidRPr="00285A59">
              <w:rPr>
                <w:sz w:val="20"/>
                <w:szCs w:val="20"/>
              </w:rPr>
              <w:t>]</w:t>
            </w:r>
          </w:p>
          <w:p w:rsidR="00285A59" w:rsidRPr="00285A59" w:rsidRDefault="00285A59" w:rsidP="00E87937">
            <w:pPr>
              <w:jc w:val="center"/>
              <w:rPr>
                <w:sz w:val="20"/>
                <w:szCs w:val="20"/>
              </w:rPr>
            </w:pP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Reviewed the completion of the human papillomavirus vaccine series in 19 Oregon health centers.</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Review of SBHC vaccine record data</w:t>
            </w:r>
          </w:p>
        </w:tc>
        <w:tc>
          <w:tcPr>
            <w:tcW w:w="2754" w:type="dxa"/>
            <w:tcBorders>
              <w:top w:val="nil"/>
              <w:left w:val="nil"/>
              <w:bottom w:val="single" w:sz="4" w:space="0" w:color="auto"/>
              <w:right w:val="single" w:sz="4" w:space="0" w:color="auto"/>
            </w:tcBorders>
            <w:shd w:val="clear" w:color="auto" w:fill="auto"/>
            <w:noWrap/>
            <w:vAlign w:val="bottom"/>
            <w:hideMark/>
          </w:tcPr>
          <w:p w:rsidR="00230953" w:rsidRPr="00285A59" w:rsidRDefault="00230953" w:rsidP="001F3C7E">
            <w:pPr>
              <w:jc w:val="center"/>
              <w:rPr>
                <w:sz w:val="20"/>
                <w:szCs w:val="20"/>
              </w:rPr>
            </w:pPr>
          </w:p>
          <w:p w:rsidR="00C33565" w:rsidRPr="00285A59" w:rsidRDefault="00C33565" w:rsidP="001F3C7E">
            <w:pPr>
              <w:jc w:val="center"/>
              <w:rPr>
                <w:sz w:val="20"/>
                <w:szCs w:val="20"/>
              </w:rPr>
            </w:pPr>
            <w:r w:rsidRPr="00285A59">
              <w:rPr>
                <w:sz w:val="20"/>
                <w:szCs w:val="20"/>
              </w:rPr>
              <w:t>450 people started the 3 dose HPV vaccine in 2007. By 2008 51% of these received all 3 doses. Series completion increased significantly with age, differed significantly between race groups, lowest among black persons, and did not differ significantly by insurance status.</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Even in challenging conditions, school-based health centers provide excellent preventive care to vulnerable youth. These results support the importance of maintaining and expanding school</w:t>
            </w:r>
            <w:r w:rsidR="00285A59">
              <w:rPr>
                <w:sz w:val="20"/>
                <w:szCs w:val="20"/>
              </w:rPr>
              <w:t xml:space="preserve"> </w:t>
            </w:r>
            <w:r w:rsidRPr="00285A59">
              <w:rPr>
                <w:sz w:val="20"/>
                <w:szCs w:val="20"/>
              </w:rPr>
              <w:t>based health center access in vulnerable adolescent populations.</w:t>
            </w:r>
          </w:p>
        </w:tc>
      </w:tr>
      <w:tr w:rsidR="00285A59" w:rsidRPr="00285A59"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285A59">
              <w:rPr>
                <w:sz w:val="20"/>
                <w:szCs w:val="20"/>
              </w:rPr>
              <w:t>[16]</w:t>
            </w:r>
          </w:p>
          <w:p w:rsidR="00285A59" w:rsidRPr="00285A59" w:rsidRDefault="00285A59" w:rsidP="001F3C7E">
            <w:pPr>
              <w:jc w:val="center"/>
              <w:rPr>
                <w:sz w:val="20"/>
                <w:szCs w:val="20"/>
              </w:rPr>
            </w:pPr>
          </w:p>
        </w:tc>
        <w:tc>
          <w:tcPr>
            <w:tcW w:w="2418" w:type="dxa"/>
            <w:tcBorders>
              <w:top w:val="nil"/>
              <w:left w:val="nil"/>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285A59">
              <w:rPr>
                <w:sz w:val="20"/>
                <w:szCs w:val="20"/>
              </w:rPr>
              <w:t>The purpose of this study is to examine the effect of brief health messaging on parents’ intentions to vaccinate their young adolescent, the first dos</w:t>
            </w:r>
            <w:r w:rsidR="00285A59">
              <w:rPr>
                <w:sz w:val="20"/>
                <w:szCs w:val="20"/>
              </w:rPr>
              <w:t>e</w:t>
            </w:r>
            <w:r w:rsidRPr="00285A59">
              <w:rPr>
                <w:sz w:val="20"/>
                <w:szCs w:val="20"/>
              </w:rPr>
              <w:t xml:space="preserve"> uptake of HPV vaccine, and series completion.</w:t>
            </w:r>
          </w:p>
          <w:p w:rsidR="00285A59" w:rsidRPr="00285A59" w:rsidRDefault="00285A59" w:rsidP="001F3C7E">
            <w:pPr>
              <w:jc w:val="center"/>
              <w:rPr>
                <w:sz w:val="20"/>
                <w:szCs w:val="20"/>
              </w:rPr>
            </w:pPr>
          </w:p>
        </w:tc>
        <w:tc>
          <w:tcPr>
            <w:tcW w:w="2016" w:type="dxa"/>
            <w:tcBorders>
              <w:top w:val="nil"/>
              <w:left w:val="nil"/>
              <w:bottom w:val="single" w:sz="4" w:space="0" w:color="auto"/>
              <w:right w:val="single" w:sz="4" w:space="0" w:color="auto"/>
            </w:tcBorders>
            <w:shd w:val="clear" w:color="auto" w:fill="auto"/>
            <w:noWrap/>
            <w:vAlign w:val="bottom"/>
            <w:hideMark/>
          </w:tcPr>
          <w:p w:rsidR="00C33565" w:rsidRDefault="00C33565" w:rsidP="001F3C7E">
            <w:pPr>
              <w:jc w:val="center"/>
              <w:rPr>
                <w:sz w:val="20"/>
                <w:szCs w:val="20"/>
              </w:rPr>
            </w:pPr>
            <w:r w:rsidRPr="00285A59">
              <w:rPr>
                <w:sz w:val="20"/>
                <w:szCs w:val="20"/>
              </w:rPr>
              <w:t>Random question computer aided interview questions to 445 parents</w:t>
            </w:r>
          </w:p>
          <w:p w:rsidR="00285A59" w:rsidRPr="00285A59" w:rsidRDefault="00285A59" w:rsidP="001F3C7E">
            <w:pPr>
              <w:jc w:val="center"/>
              <w:rPr>
                <w:sz w:val="20"/>
                <w:szCs w:val="20"/>
              </w:rPr>
            </w:pPr>
          </w:p>
        </w:tc>
        <w:tc>
          <w:tcPr>
            <w:tcW w:w="2754" w:type="dxa"/>
            <w:tcBorders>
              <w:top w:val="nil"/>
              <w:left w:val="nil"/>
              <w:bottom w:val="single" w:sz="4" w:space="0" w:color="auto"/>
              <w:right w:val="single" w:sz="4" w:space="0" w:color="auto"/>
            </w:tcBorders>
            <w:shd w:val="clear" w:color="auto" w:fill="auto"/>
            <w:noWrap/>
            <w:vAlign w:val="bottom"/>
            <w:hideMark/>
          </w:tcPr>
          <w:p w:rsidR="00C33565" w:rsidRDefault="00C33565" w:rsidP="00E42D9B">
            <w:pPr>
              <w:jc w:val="center"/>
              <w:rPr>
                <w:sz w:val="20"/>
                <w:szCs w:val="20"/>
              </w:rPr>
            </w:pPr>
            <w:r w:rsidRPr="00285A59">
              <w:rPr>
                <w:sz w:val="20"/>
                <w:szCs w:val="20"/>
              </w:rPr>
              <w:t xml:space="preserve">The use of SBHC does minimize logistic barriers that are associated with return visits necessary to compel the vaccination series. The use of an SBHC fosters a high series of completion rates and suggests they represent an excellent venue for delivery of </w:t>
            </w:r>
            <w:r w:rsidRPr="00285A59">
              <w:rPr>
                <w:sz w:val="20"/>
                <w:szCs w:val="20"/>
              </w:rPr>
              <w:br/>
              <w:t xml:space="preserve">multi dose vaccines, like </w:t>
            </w:r>
            <w:r w:rsidRPr="00285A59">
              <w:rPr>
                <w:sz w:val="20"/>
                <w:szCs w:val="20"/>
              </w:rPr>
              <w:br/>
              <w:t>HPV vaccine.</w:t>
            </w:r>
          </w:p>
          <w:p w:rsidR="00285A59" w:rsidRPr="00285A59" w:rsidRDefault="00285A59" w:rsidP="00E42D9B">
            <w:pPr>
              <w:jc w:val="center"/>
              <w:rPr>
                <w:sz w:val="20"/>
                <w:szCs w:val="20"/>
              </w:rPr>
            </w:pP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 </w:t>
            </w:r>
          </w:p>
        </w:tc>
      </w:tr>
      <w:tr w:rsidR="00285A59" w:rsidRPr="00285A59" w:rsidTr="00470D89">
        <w:trPr>
          <w:trHeight w:val="291"/>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285A59" w:rsidRDefault="00A10536" w:rsidP="001F3C7E">
            <w:pPr>
              <w:jc w:val="center"/>
              <w:rPr>
                <w:sz w:val="20"/>
                <w:szCs w:val="20"/>
              </w:rPr>
            </w:pPr>
            <w:r w:rsidRPr="00285A59">
              <w:rPr>
                <w:sz w:val="20"/>
                <w:szCs w:val="20"/>
              </w:rPr>
              <w:t>[17</w:t>
            </w:r>
            <w:r w:rsidR="00C33565" w:rsidRPr="00285A59">
              <w:rPr>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The purpose of this study is to describe HPV vaccination rates and policies at SBHC visited, identify barriers and facilitators to HPV vaccine uptake, and describe the potential role for clinician-to</w:t>
            </w:r>
            <w:r w:rsidR="00157102">
              <w:rPr>
                <w:sz w:val="20"/>
                <w:szCs w:val="20"/>
              </w:rPr>
              <w:t xml:space="preserve"> </w:t>
            </w:r>
            <w:r w:rsidRPr="00285A59">
              <w:rPr>
                <w:sz w:val="20"/>
                <w:szCs w:val="20"/>
              </w:rPr>
              <w:t>clinician AFIX to improve rates in this setting.</w:t>
            </w:r>
          </w:p>
          <w:p w:rsidR="00285A59" w:rsidRPr="00285A59" w:rsidRDefault="00285A59" w:rsidP="001F3C7E">
            <w:pPr>
              <w:jc w:val="center"/>
              <w:rPr>
                <w:sz w:val="20"/>
                <w:szCs w:val="20"/>
              </w:rPr>
            </w:pP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Conducted clinician visits to clinic sites. Assessed HPV initiation and completion rates. Analyzed responses to a questionnaire and summarized interviews to identify barriers and facilitators to HPV immunization practices and QI (Quality Improvement).</w:t>
            </w:r>
          </w:p>
          <w:p w:rsidR="00285A59" w:rsidRPr="00285A59" w:rsidRDefault="00285A59" w:rsidP="001F3C7E">
            <w:pPr>
              <w:jc w:val="center"/>
              <w:rPr>
                <w:sz w:val="20"/>
                <w:szCs w:val="20"/>
              </w:rPr>
            </w:pP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 xml:space="preserve">SBHC that allowed adolescent </w:t>
            </w:r>
            <w:r w:rsidR="00157102" w:rsidRPr="00285A59">
              <w:rPr>
                <w:sz w:val="20"/>
                <w:szCs w:val="20"/>
              </w:rPr>
              <w:t>self</w:t>
            </w:r>
            <w:r w:rsidR="00157102">
              <w:rPr>
                <w:sz w:val="20"/>
                <w:szCs w:val="20"/>
              </w:rPr>
              <w:t>-</w:t>
            </w:r>
            <w:r w:rsidR="00157102" w:rsidRPr="00285A59">
              <w:rPr>
                <w:sz w:val="20"/>
                <w:szCs w:val="20"/>
              </w:rPr>
              <w:t>consent</w:t>
            </w:r>
            <w:r w:rsidRPr="00285A59">
              <w:rPr>
                <w:sz w:val="20"/>
                <w:szCs w:val="20"/>
              </w:rPr>
              <w:t xml:space="preserve"> had a higher baseline rate. Challenges are retrieving consent from parents. Barriers were found with follow up appt. Scheduling and policy that allows students to leave class for an appointment.</w:t>
            </w:r>
          </w:p>
          <w:p w:rsidR="00285A59" w:rsidRPr="00285A59" w:rsidRDefault="00285A59" w:rsidP="001F3C7E">
            <w:pPr>
              <w:jc w:val="center"/>
              <w:rPr>
                <w:sz w:val="20"/>
                <w:szCs w:val="20"/>
              </w:rPr>
            </w:pP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285A59" w:rsidRDefault="00C33565" w:rsidP="001F3C7E">
            <w:pPr>
              <w:jc w:val="center"/>
              <w:rPr>
                <w:sz w:val="20"/>
                <w:szCs w:val="20"/>
              </w:rPr>
            </w:pPr>
            <w:r w:rsidRPr="00285A59">
              <w:rPr>
                <w:sz w:val="20"/>
                <w:szCs w:val="20"/>
              </w:rPr>
              <w:t>Streamlining consent processes can be helpful for SBHC vaccine success. Encourage providers to address barriers as to use the SBHC as a good source of vaccinations.</w:t>
            </w:r>
          </w:p>
          <w:p w:rsidR="00285A59" w:rsidRPr="00285A59" w:rsidRDefault="00285A59" w:rsidP="001F3C7E">
            <w:pPr>
              <w:jc w:val="center"/>
              <w:rPr>
                <w:sz w:val="20"/>
                <w:szCs w:val="20"/>
              </w:rPr>
            </w:pPr>
          </w:p>
        </w:tc>
      </w:tr>
      <w:tr w:rsidR="00C33565" w:rsidRPr="00D978DC" w:rsidTr="00470D89">
        <w:trPr>
          <w:trHeight w:val="2205"/>
          <w:jc w:val="center"/>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33565" w:rsidRPr="00157102" w:rsidRDefault="00CE14C2" w:rsidP="001F3C7E">
            <w:pPr>
              <w:jc w:val="center"/>
              <w:rPr>
                <w:sz w:val="20"/>
                <w:szCs w:val="20"/>
              </w:rPr>
            </w:pPr>
            <w:r w:rsidRPr="00157102">
              <w:rPr>
                <w:sz w:val="20"/>
                <w:szCs w:val="20"/>
              </w:rPr>
              <w:t>[18</w:t>
            </w:r>
            <w:r w:rsidR="00C33565" w:rsidRPr="00157102">
              <w:rPr>
                <w:sz w:val="20"/>
                <w:szCs w:val="20"/>
              </w:rPr>
              <w:t>]</w:t>
            </w:r>
          </w:p>
        </w:tc>
        <w:tc>
          <w:tcPr>
            <w:tcW w:w="2418" w:type="dxa"/>
            <w:tcBorders>
              <w:top w:val="nil"/>
              <w:left w:val="nil"/>
              <w:bottom w:val="single" w:sz="4" w:space="0" w:color="auto"/>
              <w:right w:val="single" w:sz="4" w:space="0" w:color="auto"/>
            </w:tcBorders>
            <w:shd w:val="clear" w:color="auto" w:fill="auto"/>
            <w:noWrap/>
            <w:vAlign w:val="bottom"/>
            <w:hideMark/>
          </w:tcPr>
          <w:p w:rsidR="00C33565" w:rsidRPr="00157102" w:rsidRDefault="00C33565" w:rsidP="001F3C7E">
            <w:pPr>
              <w:jc w:val="center"/>
              <w:rPr>
                <w:sz w:val="20"/>
                <w:szCs w:val="20"/>
              </w:rPr>
            </w:pPr>
            <w:r w:rsidRPr="00157102">
              <w:rPr>
                <w:sz w:val="20"/>
                <w:szCs w:val="20"/>
              </w:rPr>
              <w:t>The purpose of this study was to evaluate a medical student driver vaccine blitz at a SBHC center to increase vaccination.</w:t>
            </w:r>
          </w:p>
        </w:tc>
        <w:tc>
          <w:tcPr>
            <w:tcW w:w="2016" w:type="dxa"/>
            <w:tcBorders>
              <w:top w:val="nil"/>
              <w:left w:val="nil"/>
              <w:bottom w:val="single" w:sz="4" w:space="0" w:color="auto"/>
              <w:right w:val="single" w:sz="4" w:space="0" w:color="auto"/>
            </w:tcBorders>
            <w:shd w:val="clear" w:color="auto" w:fill="auto"/>
            <w:noWrap/>
            <w:vAlign w:val="bottom"/>
            <w:hideMark/>
          </w:tcPr>
          <w:p w:rsidR="00C33565" w:rsidRPr="00157102" w:rsidRDefault="00C33565" w:rsidP="001F3C7E">
            <w:pPr>
              <w:jc w:val="center"/>
              <w:rPr>
                <w:sz w:val="20"/>
                <w:szCs w:val="20"/>
              </w:rPr>
            </w:pPr>
            <w:r w:rsidRPr="00157102">
              <w:rPr>
                <w:sz w:val="20"/>
                <w:szCs w:val="20"/>
              </w:rPr>
              <w:t>Intervention Study. Medical school students provided an education for middle school staff on the importance of vaccination. In turn, they provided a “vaccine blitz” or campaign/intervention activity to vaccinate students at school using the SBHC</w:t>
            </w:r>
          </w:p>
        </w:tc>
        <w:tc>
          <w:tcPr>
            <w:tcW w:w="2754" w:type="dxa"/>
            <w:tcBorders>
              <w:top w:val="nil"/>
              <w:left w:val="nil"/>
              <w:bottom w:val="single" w:sz="4" w:space="0" w:color="auto"/>
              <w:right w:val="single" w:sz="4" w:space="0" w:color="auto"/>
            </w:tcBorders>
            <w:shd w:val="clear" w:color="auto" w:fill="auto"/>
            <w:noWrap/>
            <w:vAlign w:val="bottom"/>
            <w:hideMark/>
          </w:tcPr>
          <w:p w:rsidR="00C33565" w:rsidRPr="00157102" w:rsidRDefault="00C33565" w:rsidP="001F3C7E">
            <w:pPr>
              <w:jc w:val="center"/>
              <w:rPr>
                <w:sz w:val="20"/>
                <w:szCs w:val="20"/>
              </w:rPr>
            </w:pPr>
            <w:r w:rsidRPr="00157102">
              <w:rPr>
                <w:sz w:val="20"/>
                <w:szCs w:val="20"/>
              </w:rPr>
              <w:t>This study provided exposure to underserved populations, adolescents health, SBHCs, community medicine and multidisciplinary work.</w:t>
            </w:r>
          </w:p>
        </w:tc>
        <w:tc>
          <w:tcPr>
            <w:tcW w:w="3447" w:type="dxa"/>
            <w:tcBorders>
              <w:top w:val="nil"/>
              <w:left w:val="nil"/>
              <w:bottom w:val="single" w:sz="4" w:space="0" w:color="auto"/>
              <w:right w:val="single" w:sz="4" w:space="0" w:color="auto"/>
            </w:tcBorders>
            <w:shd w:val="clear" w:color="auto" w:fill="auto"/>
            <w:noWrap/>
            <w:vAlign w:val="bottom"/>
            <w:hideMark/>
          </w:tcPr>
          <w:p w:rsidR="00C33565" w:rsidRPr="00157102" w:rsidRDefault="00C33565" w:rsidP="001F3C7E">
            <w:pPr>
              <w:jc w:val="center"/>
              <w:rPr>
                <w:sz w:val="20"/>
                <w:szCs w:val="20"/>
              </w:rPr>
            </w:pPr>
            <w:r w:rsidRPr="00157102">
              <w:rPr>
                <w:sz w:val="20"/>
                <w:szCs w:val="20"/>
              </w:rPr>
              <w:t>Vaccine initiatives within an SBHC can be feasible, replicable, and an effective way to increase adolescent vaccination rates.</w:t>
            </w:r>
          </w:p>
        </w:tc>
      </w:tr>
    </w:tbl>
    <w:p w:rsidR="00C33565" w:rsidRPr="00D978DC" w:rsidRDefault="00C33565" w:rsidP="00C33565">
      <w:pPr>
        <w:contextualSpacing/>
        <w:mirrorIndents/>
        <w:rPr>
          <w:sz w:val="20"/>
          <w:szCs w:val="20"/>
        </w:rPr>
      </w:pPr>
    </w:p>
    <w:p w:rsidR="00C33565" w:rsidRPr="00D978DC" w:rsidRDefault="00C33565" w:rsidP="00C33565">
      <w:pPr>
        <w:contextualSpacing/>
        <w:mirrorIndents/>
        <w:jc w:val="both"/>
        <w:rPr>
          <w:sz w:val="20"/>
          <w:szCs w:val="20"/>
        </w:rPr>
      </w:pPr>
      <w:r w:rsidRPr="00D978DC">
        <w:rPr>
          <w:b/>
          <w:sz w:val="20"/>
          <w:szCs w:val="20"/>
        </w:rPr>
        <w:t>Table 1:</w:t>
      </w:r>
      <w:r w:rsidRPr="00D978DC">
        <w:rPr>
          <w:sz w:val="20"/>
          <w:szCs w:val="20"/>
        </w:rPr>
        <w:t xml:space="preserve"> </w:t>
      </w:r>
      <w:r w:rsidR="00694FE9">
        <w:rPr>
          <w:sz w:val="20"/>
          <w:szCs w:val="20"/>
        </w:rPr>
        <w:t>T</w:t>
      </w:r>
      <w:r w:rsidRPr="00D978DC">
        <w:rPr>
          <w:sz w:val="20"/>
          <w:szCs w:val="20"/>
        </w:rPr>
        <w:t>able listed the study, purpose, population/sample, research design, outcomes and results or conclusions.</w:t>
      </w:r>
    </w:p>
    <w:p w:rsidR="00C33565" w:rsidRPr="00D978DC" w:rsidRDefault="00C33565" w:rsidP="00C33565">
      <w:pPr>
        <w:contextualSpacing/>
        <w:mirrorIndents/>
        <w:jc w:val="both"/>
        <w:rPr>
          <w:sz w:val="20"/>
          <w:szCs w:val="20"/>
        </w:rPr>
      </w:pPr>
    </w:p>
    <w:p w:rsidR="00C33565" w:rsidRPr="0048134C" w:rsidRDefault="00C33565" w:rsidP="00C33565">
      <w:pPr>
        <w:contextualSpacing/>
        <w:mirrorIndents/>
        <w:jc w:val="both"/>
        <w:rPr>
          <w:b/>
          <w:sz w:val="22"/>
          <w:szCs w:val="22"/>
        </w:rPr>
      </w:pPr>
      <w:bookmarkStart w:id="4" w:name="Results"/>
      <w:bookmarkEnd w:id="4"/>
      <w:r w:rsidRPr="0048134C">
        <w:rPr>
          <w:b/>
          <w:sz w:val="22"/>
          <w:szCs w:val="22"/>
        </w:rPr>
        <w:lastRenderedPageBreak/>
        <w:t>Results</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 xml:space="preserve">Our search resulted in the identification of 15 relevant articles that met our inclusion criteria </w:t>
      </w:r>
      <w:r w:rsidRPr="00D978DC">
        <w:rPr>
          <w:color w:val="FF0000"/>
          <w:sz w:val="20"/>
          <w:szCs w:val="20"/>
        </w:rPr>
        <w:t>(Figure 1)</w:t>
      </w:r>
      <w:r w:rsidRPr="00D978DC">
        <w:rPr>
          <w:sz w:val="20"/>
          <w:szCs w:val="20"/>
        </w:rPr>
        <w:t xml:space="preserve">. Themes found within the 15 research articles are as follows: HPV completion and vaccination rates (n=1) </w:t>
      </w:r>
      <w:r w:rsidRPr="00D978DC">
        <w:rPr>
          <w:color w:val="FF0000"/>
          <w:sz w:val="20"/>
          <w:szCs w:val="20"/>
        </w:rPr>
        <w:t>[6]</w:t>
      </w:r>
      <w:r w:rsidRPr="00D978DC">
        <w:rPr>
          <w:sz w:val="20"/>
          <w:szCs w:val="20"/>
        </w:rPr>
        <w:t xml:space="preserve">. Acceptability of receiving the HPV vaccine at a SBHC (n=1) </w:t>
      </w:r>
      <w:r w:rsidR="009805C0">
        <w:rPr>
          <w:color w:val="FF0000"/>
          <w:sz w:val="20"/>
          <w:szCs w:val="20"/>
        </w:rPr>
        <w:t>[14</w:t>
      </w:r>
      <w:r w:rsidRPr="00D978DC">
        <w:rPr>
          <w:color w:val="FF0000"/>
          <w:sz w:val="20"/>
          <w:szCs w:val="20"/>
        </w:rPr>
        <w:t>]</w:t>
      </w:r>
      <w:r w:rsidRPr="00D978DC">
        <w:rPr>
          <w:sz w:val="20"/>
          <w:szCs w:val="20"/>
        </w:rPr>
        <w:t xml:space="preserve">. Adolescent immunization disparities and how a SBHC may assist with this issue (n=1) </w:t>
      </w:r>
      <w:r w:rsidRPr="00D978DC">
        <w:rPr>
          <w:color w:val="FF0000"/>
          <w:sz w:val="20"/>
          <w:szCs w:val="20"/>
        </w:rPr>
        <w:t>[</w:t>
      </w:r>
      <w:r w:rsidR="00CA0387">
        <w:rPr>
          <w:color w:val="FF0000"/>
          <w:sz w:val="20"/>
          <w:szCs w:val="20"/>
        </w:rPr>
        <w:t>11</w:t>
      </w:r>
      <w:r w:rsidRPr="00D978DC">
        <w:rPr>
          <w:color w:val="FF0000"/>
          <w:sz w:val="20"/>
          <w:szCs w:val="20"/>
        </w:rPr>
        <w:t>]</w:t>
      </w:r>
      <w:r w:rsidRPr="00D978DC">
        <w:rPr>
          <w:sz w:val="20"/>
          <w:szCs w:val="20"/>
        </w:rPr>
        <w:t xml:space="preserve">. HPV series completion at SBHC (n=4) </w:t>
      </w:r>
      <w:r w:rsidR="00015957">
        <w:rPr>
          <w:color w:val="FF0000"/>
          <w:sz w:val="20"/>
          <w:szCs w:val="20"/>
        </w:rPr>
        <w:t>[</w:t>
      </w:r>
      <w:r w:rsidR="00D45D12">
        <w:rPr>
          <w:color w:val="FF0000"/>
          <w:sz w:val="20"/>
          <w:szCs w:val="20"/>
        </w:rPr>
        <w:t>7,9,</w:t>
      </w:r>
      <w:r w:rsidR="00015957">
        <w:rPr>
          <w:color w:val="FF0000"/>
          <w:sz w:val="20"/>
          <w:szCs w:val="20"/>
        </w:rPr>
        <w:t>10</w:t>
      </w:r>
      <w:r w:rsidRPr="00D978DC">
        <w:rPr>
          <w:color w:val="FF0000"/>
          <w:sz w:val="20"/>
          <w:szCs w:val="20"/>
        </w:rPr>
        <w:t>,</w:t>
      </w:r>
      <w:r w:rsidR="009F0204">
        <w:rPr>
          <w:color w:val="FF0000"/>
          <w:sz w:val="20"/>
          <w:szCs w:val="20"/>
        </w:rPr>
        <w:t>15</w:t>
      </w:r>
      <w:r w:rsidRPr="00D978DC">
        <w:rPr>
          <w:color w:val="FF0000"/>
          <w:sz w:val="20"/>
          <w:szCs w:val="20"/>
        </w:rPr>
        <w:t>]</w:t>
      </w:r>
      <w:r w:rsidRPr="00D978DC">
        <w:rPr>
          <w:sz w:val="20"/>
          <w:szCs w:val="20"/>
        </w:rPr>
        <w:t xml:space="preserve">. Interventions to make improvements to existing vaccine implementation at SBHC (n=9) </w:t>
      </w:r>
      <w:r w:rsidRPr="00D978DC">
        <w:rPr>
          <w:color w:val="FF0000"/>
          <w:sz w:val="20"/>
          <w:szCs w:val="20"/>
        </w:rPr>
        <w:t>[1,5,</w:t>
      </w:r>
      <w:r w:rsidR="001D3F00">
        <w:rPr>
          <w:color w:val="FF0000"/>
          <w:sz w:val="20"/>
          <w:szCs w:val="20"/>
        </w:rPr>
        <w:t>8,12,13,16-</w:t>
      </w:r>
      <w:r w:rsidR="00BA42AE">
        <w:rPr>
          <w:color w:val="FF0000"/>
          <w:sz w:val="20"/>
          <w:szCs w:val="20"/>
        </w:rPr>
        <w:t>19</w:t>
      </w:r>
      <w:r w:rsidRPr="00D978DC">
        <w:rPr>
          <w:color w:val="FF0000"/>
          <w:sz w:val="20"/>
          <w:szCs w:val="20"/>
        </w:rPr>
        <w:t>]</w:t>
      </w:r>
      <w:r w:rsidRPr="00D978DC">
        <w:rPr>
          <w:sz w:val="20"/>
          <w:szCs w:val="20"/>
        </w:rPr>
        <w:t>.</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sz w:val="20"/>
          <w:szCs w:val="20"/>
        </w:rPr>
      </w:pPr>
      <w:bookmarkStart w:id="5" w:name="Evidence_to_Support_the_Use_of_a_SBHC_fo"/>
      <w:bookmarkEnd w:id="5"/>
      <w:r w:rsidRPr="00D978DC">
        <w:rPr>
          <w:b/>
          <w:sz w:val="20"/>
          <w:szCs w:val="20"/>
        </w:rPr>
        <w:t>Evidence to Support the Use of a SBHC for HPV Vaccination:</w:t>
      </w:r>
    </w:p>
    <w:p w:rsidR="00C33565" w:rsidRPr="00D978DC" w:rsidRDefault="00C33565" w:rsidP="00C33565">
      <w:pPr>
        <w:contextualSpacing/>
        <w:mirrorIndents/>
        <w:jc w:val="both"/>
        <w:rPr>
          <w:b/>
          <w:sz w:val="20"/>
          <w:szCs w:val="20"/>
        </w:rPr>
      </w:pPr>
    </w:p>
    <w:p w:rsidR="00C33565" w:rsidRPr="00D978DC" w:rsidRDefault="00C33565" w:rsidP="00C33565">
      <w:pPr>
        <w:contextualSpacing/>
        <w:mirrorIndents/>
        <w:jc w:val="both"/>
        <w:rPr>
          <w:sz w:val="20"/>
          <w:szCs w:val="20"/>
        </w:rPr>
      </w:pPr>
      <w:r w:rsidRPr="00D978DC">
        <w:rPr>
          <w:sz w:val="20"/>
          <w:szCs w:val="20"/>
        </w:rPr>
        <w:t>Several articles within the literature search advocated for the use of an SBHC as a great resource for HPV vaccination of adolescents. Reasons have been cited as to why this route of vaccination can be favorable (1) Studies conducted by Munn, et al.</w:t>
      </w:r>
      <w:r w:rsidR="00386253">
        <w:rPr>
          <w:color w:val="FF0000"/>
          <w:sz w:val="20"/>
          <w:szCs w:val="20"/>
        </w:rPr>
        <w:t xml:space="preserve"> [7</w:t>
      </w:r>
      <w:r w:rsidRPr="00D978DC">
        <w:rPr>
          <w:color w:val="FF0000"/>
          <w:sz w:val="20"/>
          <w:szCs w:val="20"/>
        </w:rPr>
        <w:t>]</w:t>
      </w:r>
      <w:r w:rsidRPr="00D978DC">
        <w:rPr>
          <w:sz w:val="20"/>
          <w:szCs w:val="20"/>
        </w:rPr>
        <w:t xml:space="preserve"> showed that adolescents who used SBHC’s for HPV vaccination had a higher completion rate than those that received their vaccine at another healthcare setting. (2) The SBHC is more accessible for adolescents, many because of their age, have decreased interaction with a traditional healthcare facility or primary physician. The SBHC is located at the school and more accessible for the students </w:t>
      </w:r>
      <w:r w:rsidRPr="00D978DC">
        <w:rPr>
          <w:color w:val="FF0000"/>
          <w:sz w:val="20"/>
          <w:szCs w:val="20"/>
        </w:rPr>
        <w:t>[5]</w:t>
      </w:r>
      <w:r w:rsidRPr="00D978DC">
        <w:rPr>
          <w:sz w:val="20"/>
          <w:szCs w:val="20"/>
        </w:rPr>
        <w:t xml:space="preserve">. (3) Due to the need to receive 2 or 3 injections in the HPV series, many students do not complete their series. With the SBHC, the students have a better chance of completion due to the availability of the vaccine on the school premises. Students are already at school and can easily be seen at the SBHC to complete the series </w:t>
      </w:r>
      <w:r w:rsidRPr="00D978DC">
        <w:rPr>
          <w:color w:val="FF0000"/>
          <w:sz w:val="20"/>
          <w:szCs w:val="20"/>
        </w:rPr>
        <w:t>[1</w:t>
      </w:r>
      <w:r w:rsidR="00FA4AEC">
        <w:rPr>
          <w:color w:val="FF0000"/>
          <w:sz w:val="20"/>
          <w:szCs w:val="20"/>
        </w:rPr>
        <w:t>5</w:t>
      </w:r>
      <w:r w:rsidRPr="00D978DC">
        <w:rPr>
          <w:color w:val="FF0000"/>
          <w:sz w:val="20"/>
          <w:szCs w:val="20"/>
        </w:rPr>
        <w:t>]</w:t>
      </w:r>
      <w:r w:rsidRPr="00D978DC">
        <w:rPr>
          <w:sz w:val="20"/>
          <w:szCs w:val="20"/>
        </w:rPr>
        <w:t xml:space="preserve">. (4) Since the schools are on-site with the SBHC, this eliminates the scheduling issues that may cause a barrier or a delay in vaccination </w:t>
      </w:r>
      <w:r w:rsidR="00B65647">
        <w:rPr>
          <w:color w:val="FF0000"/>
          <w:sz w:val="20"/>
          <w:szCs w:val="20"/>
        </w:rPr>
        <w:t>[15</w:t>
      </w:r>
      <w:r w:rsidRPr="00D978DC">
        <w:rPr>
          <w:color w:val="FF0000"/>
          <w:sz w:val="20"/>
          <w:szCs w:val="20"/>
        </w:rPr>
        <w:t>]</w:t>
      </w:r>
      <w:r w:rsidRPr="00D978DC">
        <w:rPr>
          <w:sz w:val="20"/>
          <w:szCs w:val="20"/>
        </w:rPr>
        <w:t xml:space="preserve">. (5) Insurance disparities do not affect vaccine completion. State and national programs that provide free vaccine, SBHCs appear to be able to address these barriers by programs such as the Vaccines for Children Program (VFC) </w:t>
      </w:r>
      <w:r w:rsidR="001B0172">
        <w:rPr>
          <w:color w:val="FF0000"/>
          <w:sz w:val="20"/>
          <w:szCs w:val="20"/>
        </w:rPr>
        <w:t>[12</w:t>
      </w:r>
      <w:r w:rsidRPr="00D978DC">
        <w:rPr>
          <w:color w:val="FF0000"/>
          <w:sz w:val="20"/>
          <w:szCs w:val="20"/>
        </w:rPr>
        <w:t>]</w:t>
      </w:r>
      <w:r w:rsidRPr="00D978DC">
        <w:rPr>
          <w:sz w:val="20"/>
          <w:szCs w:val="20"/>
        </w:rPr>
        <w:t xml:space="preserve">. Children can receive preventive care such as vaccines despite their income </w:t>
      </w:r>
      <w:r w:rsidR="00006CF1">
        <w:rPr>
          <w:color w:val="FF0000"/>
          <w:sz w:val="20"/>
          <w:szCs w:val="20"/>
        </w:rPr>
        <w:t>[8</w:t>
      </w:r>
      <w:r w:rsidRPr="00D978DC">
        <w:rPr>
          <w:color w:val="FF0000"/>
          <w:sz w:val="20"/>
          <w:szCs w:val="20"/>
        </w:rPr>
        <w:t>]</w:t>
      </w:r>
      <w:r w:rsidRPr="00D978DC">
        <w:rPr>
          <w:sz w:val="20"/>
          <w:szCs w:val="20"/>
        </w:rPr>
        <w:t xml:space="preserve">. (6) School-based health centers can provide an alternative to primary care settings for vaccination as most children &lt;14 years of age are in school. This eliminates parents missing work or transportation issues that may occur </w:t>
      </w:r>
      <w:r w:rsidRPr="00D978DC">
        <w:rPr>
          <w:color w:val="FF0000"/>
          <w:sz w:val="20"/>
          <w:szCs w:val="20"/>
        </w:rPr>
        <w:t>[16]</w:t>
      </w:r>
      <w:r w:rsidRPr="00D978DC">
        <w:rPr>
          <w:sz w:val="20"/>
          <w:szCs w:val="20"/>
        </w:rPr>
        <w:t>. (7) Parents feel SBHC’s are convenient, some services are free, and feel confident for the vaccines their children receive there. (8) Schools that have a SBHC are positioned to assist with barriers to the vaccine. SBHCs are more likely to vaccinate low-income students and racially and ethnically diverse students. (9) Best practice to increasing vaccination uptake is</w:t>
      </w:r>
      <w:r w:rsidRPr="00D978DC">
        <w:rPr>
          <w:spacing w:val="-20"/>
          <w:sz w:val="20"/>
          <w:szCs w:val="20"/>
        </w:rPr>
        <w:t xml:space="preserve"> </w:t>
      </w:r>
      <w:r w:rsidRPr="00D978DC">
        <w:rPr>
          <w:sz w:val="20"/>
          <w:szCs w:val="20"/>
        </w:rPr>
        <w:t xml:space="preserve">for more schools to offer vaccinations through SBHC’s </w:t>
      </w:r>
      <w:r w:rsidRPr="00D978DC">
        <w:rPr>
          <w:color w:val="FF0000"/>
          <w:sz w:val="20"/>
          <w:szCs w:val="20"/>
        </w:rPr>
        <w:t>[1</w:t>
      </w:r>
      <w:r w:rsidR="002D4935">
        <w:rPr>
          <w:color w:val="FF0000"/>
          <w:sz w:val="20"/>
          <w:szCs w:val="20"/>
        </w:rPr>
        <w:t>9</w:t>
      </w:r>
      <w:r w:rsidRPr="00D978DC">
        <w:rPr>
          <w:color w:val="FF0000"/>
          <w:sz w:val="20"/>
          <w:szCs w:val="20"/>
        </w:rPr>
        <w:t>]</w:t>
      </w:r>
      <w:r w:rsidRPr="00D978DC">
        <w:rPr>
          <w:sz w:val="20"/>
          <w:szCs w:val="20"/>
        </w:rPr>
        <w:t xml:space="preserve">. (10) The American Academy of Pediatrics (AAP) supports SBHC’s and believes immunization rates could increase by using school based clinicals. Other countries, outside of the United States are cited as exceeding 90% vaccination rates by using school-based interventions </w:t>
      </w:r>
      <w:r w:rsidR="003C7190">
        <w:rPr>
          <w:color w:val="FF0000"/>
          <w:sz w:val="20"/>
          <w:szCs w:val="20"/>
        </w:rPr>
        <w:t>[8</w:t>
      </w:r>
      <w:r w:rsidRPr="00D978DC">
        <w:rPr>
          <w:color w:val="FF0000"/>
          <w:sz w:val="20"/>
          <w:szCs w:val="20"/>
        </w:rPr>
        <w:t>]</w:t>
      </w:r>
      <w:r w:rsidRPr="00D978DC">
        <w:rPr>
          <w:sz w:val="20"/>
          <w:szCs w:val="20"/>
        </w:rPr>
        <w:t>.</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sz w:val="20"/>
          <w:szCs w:val="20"/>
        </w:rPr>
      </w:pPr>
      <w:bookmarkStart w:id="6" w:name="Vaccination_Barriers_Experienced_by_SBHC"/>
      <w:bookmarkEnd w:id="6"/>
      <w:r w:rsidRPr="00D978DC">
        <w:rPr>
          <w:b/>
          <w:sz w:val="20"/>
          <w:szCs w:val="20"/>
        </w:rPr>
        <w:t>Vaccination Barriers Experienced by SBHC’s</w:t>
      </w:r>
    </w:p>
    <w:p w:rsidR="00C33565" w:rsidRPr="00D978DC" w:rsidRDefault="00C33565" w:rsidP="00C33565">
      <w:pPr>
        <w:contextualSpacing/>
        <w:mirrorIndents/>
        <w:jc w:val="both"/>
        <w:rPr>
          <w:b/>
          <w:sz w:val="20"/>
          <w:szCs w:val="20"/>
        </w:rPr>
      </w:pPr>
    </w:p>
    <w:p w:rsidR="00C33565" w:rsidRPr="00D978DC" w:rsidRDefault="00C33565" w:rsidP="00C33565">
      <w:pPr>
        <w:contextualSpacing/>
        <w:mirrorIndents/>
        <w:jc w:val="both"/>
        <w:rPr>
          <w:sz w:val="20"/>
          <w:szCs w:val="20"/>
        </w:rPr>
      </w:pPr>
      <w:r w:rsidRPr="00D978DC">
        <w:rPr>
          <w:sz w:val="20"/>
          <w:szCs w:val="20"/>
        </w:rPr>
        <w:t>Although there are many positives to utilizing an SBHC for vaccination, the literature identifies some barriers.</w:t>
      </w:r>
    </w:p>
    <w:p w:rsidR="00C33565" w:rsidRPr="008E0B6F" w:rsidRDefault="00C33565" w:rsidP="00C33565">
      <w:pPr>
        <w:contextualSpacing/>
        <w:mirrorIndents/>
        <w:jc w:val="both"/>
        <w:rPr>
          <w:sz w:val="20"/>
          <w:szCs w:val="20"/>
        </w:rPr>
      </w:pPr>
    </w:p>
    <w:p w:rsidR="00C33565" w:rsidRPr="008E0B6F" w:rsidRDefault="00C33565" w:rsidP="00C33565">
      <w:pPr>
        <w:contextualSpacing/>
        <w:mirrorIndents/>
        <w:jc w:val="both"/>
        <w:rPr>
          <w:sz w:val="20"/>
          <w:szCs w:val="20"/>
        </w:rPr>
      </w:pPr>
      <w:r w:rsidRPr="008E0B6F">
        <w:rPr>
          <w:sz w:val="20"/>
          <w:szCs w:val="20"/>
        </w:rPr>
        <w:t xml:space="preserve">(1) Billing of Private Insurance Companies: A common barrier throughout the literature is the SBHC’s lack of ability to bill private insurance companies. If the SBHC is not able to bill, they are strapped to only administering vaccines to children that are Vaccine for Children (VFC) eligible </w:t>
      </w:r>
      <w:r w:rsidR="00B02400" w:rsidRPr="008E0B6F">
        <w:rPr>
          <w:color w:val="FF0000"/>
          <w:sz w:val="20"/>
          <w:szCs w:val="20"/>
        </w:rPr>
        <w:t>[9</w:t>
      </w:r>
      <w:r w:rsidRPr="008E0B6F">
        <w:rPr>
          <w:color w:val="FF0000"/>
          <w:sz w:val="20"/>
          <w:szCs w:val="20"/>
        </w:rPr>
        <w:t>]</w:t>
      </w:r>
      <w:r w:rsidRPr="008E0B6F">
        <w:rPr>
          <w:sz w:val="20"/>
          <w:szCs w:val="20"/>
        </w:rPr>
        <w:t>.</w:t>
      </w:r>
    </w:p>
    <w:p w:rsidR="00C33565" w:rsidRPr="008E0B6F" w:rsidRDefault="00C33565" w:rsidP="00C33565">
      <w:pPr>
        <w:contextualSpacing/>
        <w:mirrorIndents/>
        <w:jc w:val="both"/>
        <w:rPr>
          <w:sz w:val="20"/>
          <w:szCs w:val="20"/>
        </w:rPr>
      </w:pPr>
      <w:r w:rsidRPr="008E0B6F">
        <w:rPr>
          <w:sz w:val="20"/>
          <w:szCs w:val="20"/>
        </w:rPr>
        <w:t xml:space="preserve">(2) Administrative Support: Securing buy-in from administrators, faculty, and staff of the school. Without proper support, SBHC’s find it difficult to promote vaccination </w:t>
      </w:r>
      <w:r w:rsidR="00FC6CC2" w:rsidRPr="008E0B6F">
        <w:rPr>
          <w:color w:val="FF0000"/>
          <w:sz w:val="20"/>
          <w:szCs w:val="20"/>
        </w:rPr>
        <w:t>[17</w:t>
      </w:r>
      <w:r w:rsidRPr="008E0B6F">
        <w:rPr>
          <w:color w:val="FF0000"/>
          <w:sz w:val="20"/>
          <w:szCs w:val="20"/>
        </w:rPr>
        <w:t>]</w:t>
      </w:r>
      <w:r w:rsidRPr="008E0B6F">
        <w:rPr>
          <w:sz w:val="20"/>
          <w:szCs w:val="20"/>
        </w:rPr>
        <w:t>.</w:t>
      </w:r>
    </w:p>
    <w:p w:rsidR="00C33565" w:rsidRPr="008E0B6F" w:rsidRDefault="00C33565" w:rsidP="00C33565">
      <w:pPr>
        <w:contextualSpacing/>
        <w:mirrorIndents/>
        <w:jc w:val="both"/>
        <w:rPr>
          <w:sz w:val="20"/>
          <w:szCs w:val="20"/>
        </w:rPr>
      </w:pPr>
      <w:r w:rsidRPr="008E0B6F">
        <w:rPr>
          <w:sz w:val="20"/>
          <w:szCs w:val="20"/>
        </w:rPr>
        <w:t xml:space="preserve">(3) Parental Consent: Retrieving consent from a parent or guardian is a barrier for many SBHC’s. Some articles discuss receiving a blanket consent from a parent or guardian for all vaccines at the beginning of the school year. This may be a solution to receiving consent for the HPV vaccine </w:t>
      </w:r>
      <w:r w:rsidR="00DE4F81" w:rsidRPr="008E0B6F">
        <w:rPr>
          <w:color w:val="FF0000"/>
          <w:sz w:val="20"/>
          <w:szCs w:val="20"/>
        </w:rPr>
        <w:t>[12</w:t>
      </w:r>
      <w:r w:rsidRPr="008E0B6F">
        <w:rPr>
          <w:color w:val="FF0000"/>
          <w:sz w:val="20"/>
          <w:szCs w:val="20"/>
        </w:rPr>
        <w:t>]</w:t>
      </w:r>
      <w:r w:rsidRPr="008E0B6F">
        <w:rPr>
          <w:sz w:val="20"/>
          <w:szCs w:val="20"/>
        </w:rPr>
        <w:t>.</w:t>
      </w:r>
    </w:p>
    <w:p w:rsidR="00C33565" w:rsidRPr="00D978DC" w:rsidRDefault="00C33565" w:rsidP="00C33565">
      <w:pPr>
        <w:contextualSpacing/>
        <w:mirrorIndents/>
        <w:jc w:val="both"/>
        <w:rPr>
          <w:sz w:val="20"/>
          <w:szCs w:val="20"/>
        </w:rPr>
      </w:pPr>
      <w:r w:rsidRPr="008E0B6F">
        <w:rPr>
          <w:sz w:val="20"/>
          <w:szCs w:val="20"/>
        </w:rPr>
        <w:t>(4) Parental and Guardian Fears: Parents and guardians have expressed concerns about the immunization and the possible side effects, safety of vaccine, fear of promoting sexual activity, perception that child is too young to be vaccinated since they are not sexually active, belief the vaccine</w:t>
      </w:r>
      <w:r w:rsidRPr="00D978DC">
        <w:rPr>
          <w:sz w:val="20"/>
          <w:szCs w:val="20"/>
        </w:rPr>
        <w:t xml:space="preserve"> is not necessary, and concern over cost </w:t>
      </w:r>
      <w:r w:rsidRPr="00D978DC">
        <w:rPr>
          <w:color w:val="FF0000"/>
          <w:sz w:val="20"/>
          <w:szCs w:val="20"/>
        </w:rPr>
        <w:t>[20]</w:t>
      </w:r>
      <w:r w:rsidRPr="00D978DC">
        <w:rPr>
          <w:sz w:val="20"/>
          <w:szCs w:val="20"/>
        </w:rPr>
        <w:t>.</w:t>
      </w:r>
    </w:p>
    <w:p w:rsidR="00C33565" w:rsidRPr="00D978DC" w:rsidRDefault="00C33565" w:rsidP="00C33565">
      <w:pPr>
        <w:contextualSpacing/>
        <w:mirrorIndents/>
        <w:jc w:val="both"/>
        <w:rPr>
          <w:sz w:val="20"/>
          <w:szCs w:val="20"/>
        </w:rPr>
      </w:pPr>
      <w:bookmarkStart w:id="7" w:name="Other_Perceived_Barriers_to_the_HPV_Vacc"/>
      <w:bookmarkEnd w:id="7"/>
    </w:p>
    <w:p w:rsidR="00C33565" w:rsidRPr="00D978DC" w:rsidRDefault="00C33565" w:rsidP="00C33565">
      <w:pPr>
        <w:contextualSpacing/>
        <w:mirrorIndents/>
        <w:jc w:val="both"/>
        <w:rPr>
          <w:b/>
          <w:sz w:val="20"/>
          <w:szCs w:val="20"/>
        </w:rPr>
      </w:pPr>
      <w:r w:rsidRPr="00D978DC">
        <w:rPr>
          <w:b/>
          <w:sz w:val="20"/>
          <w:szCs w:val="20"/>
        </w:rPr>
        <w:t>Other Perceived Barriers to the HPV Vaccine</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The literature discusses a phenomenon as “Missed Opportunities.” This can be a situation where a child has been in contact with a health care service and is eligible for vaccination, but the child does not receive the vaccine for which he or she is eligible. Missed opportunities occur when adolescents present to a healthcare clinic and the immunization history is not reviewed, a follow up is not scheduled for additional doses of a vaccine, or the provider did not recommend vaccines.</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sz w:val="22"/>
          <w:szCs w:val="22"/>
        </w:rPr>
      </w:pPr>
      <w:r w:rsidRPr="00D978DC">
        <w:rPr>
          <w:b/>
          <w:sz w:val="22"/>
          <w:szCs w:val="22"/>
        </w:rPr>
        <w:lastRenderedPageBreak/>
        <w:t>Discussion</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 xml:space="preserve">Immunization has been shown to be one of the most successful and secure public health measures. The HPV vaccine was recommended by ACIP (Advisory Committee on Immunization Practices) in 2006 for regular vaccination of adolescent females aged 11-12 </w:t>
      </w:r>
      <w:r w:rsidRPr="00D978DC">
        <w:rPr>
          <w:color w:val="FF0000"/>
          <w:sz w:val="20"/>
          <w:szCs w:val="20"/>
        </w:rPr>
        <w:t>[21]</w:t>
      </w:r>
      <w:r w:rsidRPr="00D978DC">
        <w:rPr>
          <w:sz w:val="20"/>
          <w:szCs w:val="20"/>
        </w:rPr>
        <w:t>. The ACIP guideline was extended in 2011 to include teenage males. Even though the President's</w:t>
      </w:r>
      <w:r w:rsidRPr="00D978DC">
        <w:rPr>
          <w:spacing w:val="-9"/>
          <w:sz w:val="20"/>
          <w:szCs w:val="20"/>
        </w:rPr>
        <w:t xml:space="preserve"> </w:t>
      </w:r>
      <w:r w:rsidRPr="00D978DC">
        <w:rPr>
          <w:sz w:val="20"/>
          <w:szCs w:val="20"/>
        </w:rPr>
        <w:t>Cancer</w:t>
      </w:r>
      <w:r w:rsidRPr="00D978DC">
        <w:rPr>
          <w:spacing w:val="-9"/>
          <w:sz w:val="20"/>
          <w:szCs w:val="20"/>
        </w:rPr>
        <w:t xml:space="preserve"> </w:t>
      </w:r>
      <w:r w:rsidRPr="00D978DC">
        <w:rPr>
          <w:sz w:val="20"/>
          <w:szCs w:val="20"/>
        </w:rPr>
        <w:t>Panel</w:t>
      </w:r>
      <w:r w:rsidRPr="00D978DC">
        <w:rPr>
          <w:spacing w:val="-6"/>
          <w:sz w:val="20"/>
          <w:szCs w:val="20"/>
        </w:rPr>
        <w:t xml:space="preserve"> </w:t>
      </w:r>
      <w:r w:rsidRPr="00D978DC">
        <w:rPr>
          <w:sz w:val="20"/>
          <w:szCs w:val="20"/>
        </w:rPr>
        <w:t>finds</w:t>
      </w:r>
      <w:r w:rsidRPr="00D978DC">
        <w:rPr>
          <w:spacing w:val="-9"/>
          <w:sz w:val="20"/>
          <w:szCs w:val="20"/>
        </w:rPr>
        <w:t xml:space="preserve"> </w:t>
      </w:r>
      <w:r w:rsidRPr="00D978DC">
        <w:rPr>
          <w:sz w:val="20"/>
          <w:szCs w:val="20"/>
        </w:rPr>
        <w:t>HPV</w:t>
      </w:r>
      <w:r w:rsidRPr="00D978DC">
        <w:rPr>
          <w:spacing w:val="-9"/>
          <w:sz w:val="20"/>
          <w:szCs w:val="20"/>
        </w:rPr>
        <w:t xml:space="preserve"> </w:t>
      </w:r>
      <w:r w:rsidRPr="00D978DC">
        <w:rPr>
          <w:sz w:val="20"/>
          <w:szCs w:val="20"/>
        </w:rPr>
        <w:t>vaccination</w:t>
      </w:r>
      <w:r w:rsidRPr="00D978DC">
        <w:rPr>
          <w:spacing w:val="-9"/>
          <w:sz w:val="20"/>
          <w:szCs w:val="20"/>
        </w:rPr>
        <w:t xml:space="preserve"> </w:t>
      </w:r>
      <w:r w:rsidRPr="00D978DC">
        <w:rPr>
          <w:sz w:val="20"/>
          <w:szCs w:val="20"/>
        </w:rPr>
        <w:t>to</w:t>
      </w:r>
      <w:r w:rsidRPr="00D978DC">
        <w:rPr>
          <w:spacing w:val="-6"/>
          <w:sz w:val="20"/>
          <w:szCs w:val="20"/>
        </w:rPr>
        <w:t xml:space="preserve"> </w:t>
      </w:r>
      <w:r w:rsidRPr="00D978DC">
        <w:rPr>
          <w:sz w:val="20"/>
          <w:szCs w:val="20"/>
        </w:rPr>
        <w:t>be</w:t>
      </w:r>
      <w:r w:rsidRPr="00D978DC">
        <w:rPr>
          <w:spacing w:val="-10"/>
          <w:sz w:val="20"/>
          <w:szCs w:val="20"/>
        </w:rPr>
        <w:t xml:space="preserve"> </w:t>
      </w:r>
      <w:r w:rsidRPr="00D978DC">
        <w:rPr>
          <w:sz w:val="20"/>
          <w:szCs w:val="20"/>
        </w:rPr>
        <w:t>a</w:t>
      </w:r>
      <w:r w:rsidRPr="00D978DC">
        <w:rPr>
          <w:spacing w:val="-11"/>
          <w:sz w:val="20"/>
          <w:szCs w:val="20"/>
        </w:rPr>
        <w:t xml:space="preserve"> </w:t>
      </w:r>
      <w:r w:rsidRPr="00D978DC">
        <w:rPr>
          <w:sz w:val="20"/>
          <w:szCs w:val="20"/>
        </w:rPr>
        <w:t>top</w:t>
      </w:r>
      <w:r w:rsidRPr="00D978DC">
        <w:rPr>
          <w:spacing w:val="-9"/>
          <w:sz w:val="20"/>
          <w:szCs w:val="20"/>
        </w:rPr>
        <w:t xml:space="preserve"> </w:t>
      </w:r>
      <w:r w:rsidRPr="00D978DC">
        <w:rPr>
          <w:sz w:val="20"/>
          <w:szCs w:val="20"/>
        </w:rPr>
        <w:t>priority</w:t>
      </w:r>
      <w:r w:rsidRPr="00D978DC">
        <w:rPr>
          <w:spacing w:val="-9"/>
          <w:sz w:val="20"/>
          <w:szCs w:val="20"/>
        </w:rPr>
        <w:t xml:space="preserve"> </w:t>
      </w:r>
      <w:r w:rsidRPr="00D978DC">
        <w:rPr>
          <w:sz w:val="20"/>
          <w:szCs w:val="20"/>
        </w:rPr>
        <w:t>in</w:t>
      </w:r>
      <w:r w:rsidRPr="00D978DC">
        <w:rPr>
          <w:spacing w:val="-9"/>
          <w:sz w:val="20"/>
          <w:szCs w:val="20"/>
        </w:rPr>
        <w:t xml:space="preserve"> </w:t>
      </w:r>
      <w:r w:rsidRPr="00D978DC">
        <w:rPr>
          <w:sz w:val="20"/>
          <w:szCs w:val="20"/>
        </w:rPr>
        <w:t>cancer</w:t>
      </w:r>
      <w:r w:rsidRPr="00D978DC">
        <w:rPr>
          <w:spacing w:val="-10"/>
          <w:sz w:val="20"/>
          <w:szCs w:val="20"/>
        </w:rPr>
        <w:t xml:space="preserve"> </w:t>
      </w:r>
      <w:r w:rsidRPr="00D978DC">
        <w:rPr>
          <w:sz w:val="20"/>
          <w:szCs w:val="20"/>
        </w:rPr>
        <w:t>prevention,</w:t>
      </w:r>
      <w:r w:rsidRPr="00D978DC">
        <w:rPr>
          <w:spacing w:val="-9"/>
          <w:sz w:val="20"/>
          <w:szCs w:val="20"/>
        </w:rPr>
        <w:t xml:space="preserve"> </w:t>
      </w:r>
      <w:r w:rsidRPr="00D978DC">
        <w:rPr>
          <w:sz w:val="20"/>
          <w:szCs w:val="20"/>
        </w:rPr>
        <w:t xml:space="preserve">coverage rates are poor and fell short for the Healthy People 2020 goal of 80% coverage for both men and women. By 2018, only 48.0 percent of adolescents aged 13 through 15 years received recommended doses of the HPV vaccine. The target rate for Healthy People 2020 was 80% and remains at this target for Healthy People 2030 </w:t>
      </w:r>
      <w:r w:rsidRPr="00D978DC">
        <w:rPr>
          <w:color w:val="FF0000"/>
          <w:sz w:val="20"/>
          <w:szCs w:val="20"/>
        </w:rPr>
        <w:t>[22]</w:t>
      </w:r>
      <w:r w:rsidRPr="00D978DC">
        <w:rPr>
          <w:sz w:val="20"/>
          <w:szCs w:val="20"/>
        </w:rPr>
        <w:t>.</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color w:val="FF0000"/>
          <w:sz w:val="20"/>
          <w:szCs w:val="20"/>
        </w:rPr>
      </w:pPr>
      <w:r w:rsidRPr="00D978DC">
        <w:rPr>
          <w:sz w:val="20"/>
          <w:szCs w:val="20"/>
        </w:rPr>
        <w:t xml:space="preserve">According to 2013 National Immunization Survey data, 57.3% of females and 34.6% of males received at least one dose of HPV vaccine compared to 86% for Tetanus, Diphtheria, And Pertussis (Tdap) and 77.8% for meningococcal conjugate vaccines. This shows both the disparity between male and female vaccination rates and the difference between other vaccine adolescent vaccine coverage </w:t>
      </w:r>
      <w:r w:rsidRPr="00D978DC">
        <w:rPr>
          <w:color w:val="FF0000"/>
          <w:sz w:val="20"/>
          <w:szCs w:val="20"/>
        </w:rPr>
        <w:t>[23]</w:t>
      </w:r>
      <w:r w:rsidRPr="00D978DC">
        <w:rPr>
          <w:sz w:val="20"/>
          <w:szCs w:val="20"/>
        </w:rPr>
        <w:t>. A study conducted by Stokley, et al.</w:t>
      </w:r>
      <w:r w:rsidRPr="00D978DC">
        <w:rPr>
          <w:color w:val="FF0000"/>
          <w:sz w:val="20"/>
          <w:szCs w:val="20"/>
        </w:rPr>
        <w:t xml:space="preserve"> [24]</w:t>
      </w:r>
      <w:r w:rsidRPr="00D978DC">
        <w:rPr>
          <w:sz w:val="20"/>
          <w:szCs w:val="20"/>
        </w:rPr>
        <w:t xml:space="preserve"> revealed that,</w:t>
      </w:r>
      <w:r w:rsidRPr="00D978DC">
        <w:rPr>
          <w:spacing w:val="-10"/>
          <w:sz w:val="20"/>
          <w:szCs w:val="20"/>
        </w:rPr>
        <w:t xml:space="preserve"> </w:t>
      </w:r>
      <w:r w:rsidRPr="00D978DC">
        <w:rPr>
          <w:sz w:val="20"/>
          <w:szCs w:val="20"/>
        </w:rPr>
        <w:t>providers</w:t>
      </w:r>
      <w:r w:rsidRPr="00D978DC">
        <w:rPr>
          <w:spacing w:val="-8"/>
          <w:sz w:val="20"/>
          <w:szCs w:val="20"/>
        </w:rPr>
        <w:t xml:space="preserve"> </w:t>
      </w:r>
      <w:r w:rsidRPr="00D978DC">
        <w:rPr>
          <w:sz w:val="20"/>
          <w:szCs w:val="20"/>
        </w:rPr>
        <w:t>often</w:t>
      </w:r>
      <w:r w:rsidRPr="00D978DC">
        <w:rPr>
          <w:spacing w:val="-9"/>
          <w:sz w:val="20"/>
          <w:szCs w:val="20"/>
        </w:rPr>
        <w:t xml:space="preserve"> </w:t>
      </w:r>
      <w:r w:rsidRPr="00D978DC">
        <w:rPr>
          <w:sz w:val="20"/>
          <w:szCs w:val="20"/>
        </w:rPr>
        <w:t>miss</w:t>
      </w:r>
      <w:r w:rsidRPr="00D978DC">
        <w:rPr>
          <w:spacing w:val="-7"/>
          <w:sz w:val="20"/>
          <w:szCs w:val="20"/>
        </w:rPr>
        <w:t xml:space="preserve"> </w:t>
      </w:r>
      <w:r w:rsidRPr="00D978DC">
        <w:rPr>
          <w:sz w:val="20"/>
          <w:szCs w:val="20"/>
        </w:rPr>
        <w:t>opportunities</w:t>
      </w:r>
      <w:r w:rsidRPr="00D978DC">
        <w:rPr>
          <w:spacing w:val="-8"/>
          <w:sz w:val="20"/>
          <w:szCs w:val="20"/>
        </w:rPr>
        <w:t xml:space="preserve"> </w:t>
      </w:r>
      <w:r w:rsidRPr="00D978DC">
        <w:rPr>
          <w:sz w:val="20"/>
          <w:szCs w:val="20"/>
        </w:rPr>
        <w:t>to</w:t>
      </w:r>
      <w:r w:rsidRPr="00D978DC">
        <w:rPr>
          <w:spacing w:val="-9"/>
          <w:sz w:val="20"/>
          <w:szCs w:val="20"/>
        </w:rPr>
        <w:t xml:space="preserve"> </w:t>
      </w:r>
      <w:r w:rsidRPr="00D978DC">
        <w:rPr>
          <w:sz w:val="20"/>
          <w:szCs w:val="20"/>
        </w:rPr>
        <w:t>vaccinate</w:t>
      </w:r>
      <w:r w:rsidRPr="00D978DC">
        <w:rPr>
          <w:spacing w:val="-10"/>
          <w:sz w:val="20"/>
          <w:szCs w:val="20"/>
        </w:rPr>
        <w:t xml:space="preserve"> </w:t>
      </w:r>
      <w:r w:rsidRPr="00D978DC">
        <w:rPr>
          <w:sz w:val="20"/>
          <w:szCs w:val="20"/>
        </w:rPr>
        <w:t>adolescents</w:t>
      </w:r>
      <w:r w:rsidRPr="00D978DC">
        <w:rPr>
          <w:spacing w:val="-9"/>
          <w:sz w:val="20"/>
          <w:szCs w:val="20"/>
        </w:rPr>
        <w:t xml:space="preserve"> </w:t>
      </w:r>
      <w:r w:rsidRPr="00D978DC">
        <w:rPr>
          <w:sz w:val="20"/>
          <w:szCs w:val="20"/>
        </w:rPr>
        <w:t>during</w:t>
      </w:r>
      <w:r w:rsidRPr="00D978DC">
        <w:rPr>
          <w:spacing w:val="-9"/>
          <w:sz w:val="20"/>
          <w:szCs w:val="20"/>
        </w:rPr>
        <w:t xml:space="preserve"> </w:t>
      </w:r>
      <w:r w:rsidRPr="00D978DC">
        <w:rPr>
          <w:sz w:val="20"/>
          <w:szCs w:val="20"/>
        </w:rPr>
        <w:t>routine</w:t>
      </w:r>
      <w:r w:rsidRPr="00D978DC">
        <w:rPr>
          <w:spacing w:val="-10"/>
          <w:sz w:val="20"/>
          <w:szCs w:val="20"/>
        </w:rPr>
        <w:t xml:space="preserve"> </w:t>
      </w:r>
      <w:r w:rsidRPr="00D978DC">
        <w:rPr>
          <w:sz w:val="20"/>
          <w:szCs w:val="20"/>
        </w:rPr>
        <w:t>healthcare</w:t>
      </w:r>
      <w:r w:rsidRPr="00D978DC">
        <w:rPr>
          <w:spacing w:val="-10"/>
          <w:sz w:val="20"/>
          <w:szCs w:val="20"/>
        </w:rPr>
        <w:t xml:space="preserve"> </w:t>
      </w:r>
      <w:r w:rsidRPr="00D978DC">
        <w:rPr>
          <w:sz w:val="20"/>
          <w:szCs w:val="20"/>
        </w:rPr>
        <w:t>visits</w:t>
      </w:r>
      <w:r w:rsidRPr="00D978DC">
        <w:rPr>
          <w:spacing w:val="-9"/>
          <w:sz w:val="20"/>
          <w:szCs w:val="20"/>
        </w:rPr>
        <w:t xml:space="preserve"> </w:t>
      </w:r>
      <w:r w:rsidRPr="00D978DC">
        <w:rPr>
          <w:sz w:val="20"/>
          <w:szCs w:val="20"/>
        </w:rPr>
        <w:t xml:space="preserve">as evidenced by the fact that nearly two-thirds of 11 - 12-year-olds are not vaccinated for HPV at office visits where they receive other vaccines. According to Gargano, et al. </w:t>
      </w:r>
      <w:r w:rsidRPr="00D978DC">
        <w:rPr>
          <w:color w:val="FF0000"/>
          <w:sz w:val="20"/>
          <w:szCs w:val="20"/>
        </w:rPr>
        <w:t>[25]</w:t>
      </w:r>
      <w:r w:rsidRPr="00D978DC">
        <w:rPr>
          <w:sz w:val="20"/>
          <w:szCs w:val="20"/>
        </w:rPr>
        <w:t xml:space="preserve"> if these</w:t>
      </w:r>
      <w:r w:rsidRPr="00D978DC">
        <w:rPr>
          <w:spacing w:val="-35"/>
          <w:sz w:val="20"/>
          <w:szCs w:val="20"/>
        </w:rPr>
        <w:t xml:space="preserve"> </w:t>
      </w:r>
      <w:r w:rsidRPr="00D978DC">
        <w:rPr>
          <w:sz w:val="20"/>
          <w:szCs w:val="20"/>
        </w:rPr>
        <w:t>missed opportunities</w:t>
      </w:r>
      <w:r w:rsidRPr="00D978DC">
        <w:rPr>
          <w:spacing w:val="-9"/>
          <w:sz w:val="20"/>
          <w:szCs w:val="20"/>
        </w:rPr>
        <w:t xml:space="preserve"> </w:t>
      </w:r>
      <w:r w:rsidRPr="00D978DC">
        <w:rPr>
          <w:sz w:val="20"/>
          <w:szCs w:val="20"/>
        </w:rPr>
        <w:t>were</w:t>
      </w:r>
      <w:r w:rsidRPr="00D978DC">
        <w:rPr>
          <w:spacing w:val="-7"/>
          <w:sz w:val="20"/>
          <w:szCs w:val="20"/>
        </w:rPr>
        <w:t xml:space="preserve"> </w:t>
      </w:r>
      <w:r w:rsidRPr="00D978DC">
        <w:rPr>
          <w:sz w:val="20"/>
          <w:szCs w:val="20"/>
        </w:rPr>
        <w:t>avoided,</w:t>
      </w:r>
      <w:r w:rsidRPr="00D978DC">
        <w:rPr>
          <w:spacing w:val="-9"/>
          <w:sz w:val="20"/>
          <w:szCs w:val="20"/>
        </w:rPr>
        <w:t xml:space="preserve"> </w:t>
      </w:r>
      <w:r w:rsidRPr="00D978DC">
        <w:rPr>
          <w:sz w:val="20"/>
          <w:szCs w:val="20"/>
        </w:rPr>
        <w:t>approximately</w:t>
      </w:r>
      <w:r w:rsidRPr="00D978DC">
        <w:rPr>
          <w:spacing w:val="-9"/>
          <w:sz w:val="20"/>
          <w:szCs w:val="20"/>
        </w:rPr>
        <w:t xml:space="preserve"> </w:t>
      </w:r>
      <w:r w:rsidRPr="00D978DC">
        <w:rPr>
          <w:sz w:val="20"/>
          <w:szCs w:val="20"/>
        </w:rPr>
        <w:t>93%</w:t>
      </w:r>
      <w:r w:rsidRPr="00D978DC">
        <w:rPr>
          <w:spacing w:val="-9"/>
          <w:sz w:val="20"/>
          <w:szCs w:val="20"/>
        </w:rPr>
        <w:t xml:space="preserve"> </w:t>
      </w:r>
      <w:r w:rsidRPr="00D978DC">
        <w:rPr>
          <w:sz w:val="20"/>
          <w:szCs w:val="20"/>
        </w:rPr>
        <w:t>of</w:t>
      </w:r>
      <w:r w:rsidRPr="00D978DC">
        <w:rPr>
          <w:spacing w:val="-9"/>
          <w:sz w:val="20"/>
          <w:szCs w:val="20"/>
        </w:rPr>
        <w:t xml:space="preserve"> </w:t>
      </w:r>
      <w:r w:rsidRPr="00D978DC">
        <w:rPr>
          <w:sz w:val="20"/>
          <w:szCs w:val="20"/>
        </w:rPr>
        <w:t>13</w:t>
      </w:r>
      <w:r w:rsidRPr="00D978DC">
        <w:rPr>
          <w:spacing w:val="-9"/>
          <w:sz w:val="20"/>
          <w:szCs w:val="20"/>
        </w:rPr>
        <w:t xml:space="preserve"> </w:t>
      </w:r>
      <w:r w:rsidRPr="00D978DC">
        <w:rPr>
          <w:sz w:val="20"/>
          <w:szCs w:val="20"/>
        </w:rPr>
        <w:t>-</w:t>
      </w:r>
      <w:r w:rsidRPr="00D978DC">
        <w:rPr>
          <w:spacing w:val="-9"/>
          <w:sz w:val="20"/>
          <w:szCs w:val="20"/>
        </w:rPr>
        <w:t xml:space="preserve"> </w:t>
      </w:r>
      <w:r w:rsidRPr="00D978DC">
        <w:rPr>
          <w:sz w:val="20"/>
          <w:szCs w:val="20"/>
        </w:rPr>
        <w:t>to</w:t>
      </w:r>
      <w:r w:rsidRPr="00D978DC">
        <w:rPr>
          <w:spacing w:val="-9"/>
          <w:sz w:val="20"/>
          <w:szCs w:val="20"/>
        </w:rPr>
        <w:t xml:space="preserve"> </w:t>
      </w:r>
      <w:r w:rsidRPr="00D978DC">
        <w:rPr>
          <w:sz w:val="20"/>
          <w:szCs w:val="20"/>
        </w:rPr>
        <w:t>17-year-old</w:t>
      </w:r>
      <w:r w:rsidRPr="00D978DC">
        <w:rPr>
          <w:spacing w:val="-9"/>
          <w:sz w:val="20"/>
          <w:szCs w:val="20"/>
        </w:rPr>
        <w:t xml:space="preserve"> </w:t>
      </w:r>
      <w:r w:rsidRPr="00D978DC">
        <w:rPr>
          <w:sz w:val="20"/>
          <w:szCs w:val="20"/>
        </w:rPr>
        <w:t>females</w:t>
      </w:r>
      <w:r w:rsidRPr="00D978DC">
        <w:rPr>
          <w:spacing w:val="-8"/>
          <w:sz w:val="20"/>
          <w:szCs w:val="20"/>
        </w:rPr>
        <w:t xml:space="preserve"> </w:t>
      </w:r>
      <w:r w:rsidRPr="00D978DC">
        <w:rPr>
          <w:sz w:val="20"/>
          <w:szCs w:val="20"/>
        </w:rPr>
        <w:t>would</w:t>
      </w:r>
      <w:r w:rsidRPr="00D978DC">
        <w:rPr>
          <w:spacing w:val="-9"/>
          <w:sz w:val="20"/>
          <w:szCs w:val="20"/>
        </w:rPr>
        <w:t xml:space="preserve"> </w:t>
      </w:r>
      <w:r w:rsidRPr="00D978DC">
        <w:rPr>
          <w:sz w:val="20"/>
          <w:szCs w:val="20"/>
        </w:rPr>
        <w:t>have</w:t>
      </w:r>
      <w:r w:rsidRPr="00D978DC">
        <w:rPr>
          <w:spacing w:val="-7"/>
          <w:sz w:val="20"/>
          <w:szCs w:val="20"/>
        </w:rPr>
        <w:t xml:space="preserve"> </w:t>
      </w:r>
      <w:r w:rsidRPr="00D978DC">
        <w:rPr>
          <w:sz w:val="20"/>
          <w:szCs w:val="20"/>
        </w:rPr>
        <w:t>at</w:t>
      </w:r>
      <w:r w:rsidRPr="00D978DC">
        <w:rPr>
          <w:spacing w:val="-8"/>
          <w:sz w:val="20"/>
          <w:szCs w:val="20"/>
        </w:rPr>
        <w:t xml:space="preserve"> </w:t>
      </w:r>
      <w:r w:rsidRPr="00D978DC">
        <w:rPr>
          <w:sz w:val="20"/>
          <w:szCs w:val="20"/>
        </w:rPr>
        <w:t xml:space="preserve">least started the series by 2012. Peer-to-peer education for healthcare professionals has been shown to be successful in addressing barriers to adolescent vaccine adoption. As a result, promoting vaccines within a SBHC may be useful in minimizing missed opportunities and motivating providers to make a positive recommendation </w:t>
      </w:r>
      <w:r w:rsidRPr="00D978DC">
        <w:rPr>
          <w:color w:val="FF0000"/>
          <w:sz w:val="20"/>
          <w:szCs w:val="20"/>
        </w:rPr>
        <w:t>[4]</w:t>
      </w:r>
      <w:r w:rsidRPr="00D978DC">
        <w:rPr>
          <w:sz w:val="20"/>
          <w:szCs w:val="20"/>
        </w:rPr>
        <w:t>. Kessels, et al.</w:t>
      </w:r>
      <w:r w:rsidRPr="00D978DC">
        <w:rPr>
          <w:color w:val="FF0000"/>
          <w:sz w:val="20"/>
          <w:szCs w:val="20"/>
        </w:rPr>
        <w:t xml:space="preserve"> [26]</w:t>
      </w:r>
      <w:r w:rsidRPr="00D978DC">
        <w:rPr>
          <w:sz w:val="20"/>
          <w:szCs w:val="20"/>
        </w:rPr>
        <w:t xml:space="preserve"> reported that adolescents with health insurance and high healthcare use are associated with higher vaccine coverage. By increasing access to healthcare through an SBHC, this may contribute to increased HPV vaccination rates amongst a population of students that are under-insured or</w:t>
      </w:r>
      <w:r w:rsidRPr="00D978DC">
        <w:rPr>
          <w:spacing w:val="-13"/>
          <w:sz w:val="20"/>
          <w:szCs w:val="20"/>
        </w:rPr>
        <w:t xml:space="preserve"> </w:t>
      </w:r>
      <w:r w:rsidRPr="00D978DC">
        <w:rPr>
          <w:sz w:val="20"/>
          <w:szCs w:val="20"/>
        </w:rPr>
        <w:t>un-insured.</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b/>
          <w:sz w:val="22"/>
          <w:szCs w:val="22"/>
        </w:rPr>
      </w:pPr>
      <w:r w:rsidRPr="00D978DC">
        <w:rPr>
          <w:b/>
          <w:sz w:val="22"/>
          <w:szCs w:val="22"/>
        </w:rPr>
        <w:t>Conclusion</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In the United States, HPV vaccine initiation rates among adolescents aged 13 to 17 years old</w:t>
      </w:r>
      <w:r w:rsidRPr="00D978DC">
        <w:rPr>
          <w:spacing w:val="-6"/>
          <w:sz w:val="20"/>
          <w:szCs w:val="20"/>
        </w:rPr>
        <w:t xml:space="preserve"> </w:t>
      </w:r>
      <w:r w:rsidRPr="00D978DC">
        <w:rPr>
          <w:sz w:val="20"/>
          <w:szCs w:val="20"/>
        </w:rPr>
        <w:t>have</w:t>
      </w:r>
      <w:r w:rsidRPr="00D978DC">
        <w:rPr>
          <w:spacing w:val="-7"/>
          <w:sz w:val="20"/>
          <w:szCs w:val="20"/>
        </w:rPr>
        <w:t xml:space="preserve"> </w:t>
      </w:r>
      <w:r w:rsidRPr="00D978DC">
        <w:rPr>
          <w:sz w:val="20"/>
          <w:szCs w:val="20"/>
        </w:rPr>
        <w:t>increased</w:t>
      </w:r>
      <w:r w:rsidRPr="00D978DC">
        <w:rPr>
          <w:spacing w:val="-5"/>
          <w:sz w:val="20"/>
          <w:szCs w:val="20"/>
        </w:rPr>
        <w:t xml:space="preserve"> </w:t>
      </w:r>
      <w:r w:rsidRPr="00D978DC">
        <w:rPr>
          <w:sz w:val="20"/>
          <w:szCs w:val="20"/>
        </w:rPr>
        <w:t>by</w:t>
      </w:r>
      <w:r w:rsidRPr="00D978DC">
        <w:rPr>
          <w:spacing w:val="-6"/>
          <w:sz w:val="20"/>
          <w:szCs w:val="20"/>
        </w:rPr>
        <w:t xml:space="preserve"> </w:t>
      </w:r>
      <w:r w:rsidRPr="00D978DC">
        <w:rPr>
          <w:sz w:val="20"/>
          <w:szCs w:val="20"/>
        </w:rPr>
        <w:t>around</w:t>
      </w:r>
      <w:r w:rsidRPr="00D978DC">
        <w:rPr>
          <w:spacing w:val="-5"/>
          <w:sz w:val="20"/>
          <w:szCs w:val="20"/>
        </w:rPr>
        <w:t xml:space="preserve"> </w:t>
      </w:r>
      <w:r w:rsidRPr="00D978DC">
        <w:rPr>
          <w:sz w:val="20"/>
          <w:szCs w:val="20"/>
        </w:rPr>
        <w:t>five</w:t>
      </w:r>
      <w:r w:rsidRPr="00D978DC">
        <w:rPr>
          <w:spacing w:val="-7"/>
          <w:sz w:val="20"/>
          <w:szCs w:val="20"/>
        </w:rPr>
        <w:t xml:space="preserve"> </w:t>
      </w:r>
      <w:r w:rsidRPr="00D978DC">
        <w:rPr>
          <w:sz w:val="20"/>
          <w:szCs w:val="20"/>
        </w:rPr>
        <w:t>percentage</w:t>
      </w:r>
      <w:r w:rsidRPr="00D978DC">
        <w:rPr>
          <w:spacing w:val="-7"/>
          <w:sz w:val="20"/>
          <w:szCs w:val="20"/>
        </w:rPr>
        <w:t xml:space="preserve"> </w:t>
      </w:r>
      <w:r w:rsidRPr="00D978DC">
        <w:rPr>
          <w:sz w:val="20"/>
          <w:szCs w:val="20"/>
        </w:rPr>
        <w:t>points</w:t>
      </w:r>
      <w:r w:rsidRPr="00D978DC">
        <w:rPr>
          <w:spacing w:val="-5"/>
          <w:sz w:val="20"/>
          <w:szCs w:val="20"/>
        </w:rPr>
        <w:t xml:space="preserve"> </w:t>
      </w:r>
      <w:r w:rsidRPr="00D978DC">
        <w:rPr>
          <w:sz w:val="20"/>
          <w:szCs w:val="20"/>
        </w:rPr>
        <w:t>per</w:t>
      </w:r>
      <w:r w:rsidRPr="00D978DC">
        <w:rPr>
          <w:spacing w:val="-7"/>
          <w:sz w:val="20"/>
          <w:szCs w:val="20"/>
        </w:rPr>
        <w:t xml:space="preserve"> </w:t>
      </w:r>
      <w:r w:rsidRPr="00D978DC">
        <w:rPr>
          <w:sz w:val="20"/>
          <w:szCs w:val="20"/>
        </w:rPr>
        <w:t>year</w:t>
      </w:r>
      <w:r w:rsidRPr="00D978DC">
        <w:rPr>
          <w:spacing w:val="-6"/>
          <w:sz w:val="20"/>
          <w:szCs w:val="20"/>
        </w:rPr>
        <w:t xml:space="preserve"> </w:t>
      </w:r>
      <w:r w:rsidRPr="00D978DC">
        <w:rPr>
          <w:sz w:val="20"/>
          <w:szCs w:val="20"/>
        </w:rPr>
        <w:t>since</w:t>
      </w:r>
      <w:r w:rsidRPr="00D978DC">
        <w:rPr>
          <w:spacing w:val="-7"/>
          <w:sz w:val="20"/>
          <w:szCs w:val="20"/>
        </w:rPr>
        <w:t xml:space="preserve"> </w:t>
      </w:r>
      <w:r w:rsidRPr="00D978DC">
        <w:rPr>
          <w:sz w:val="20"/>
          <w:szCs w:val="20"/>
        </w:rPr>
        <w:t>2013,</w:t>
      </w:r>
      <w:r w:rsidRPr="00D978DC">
        <w:rPr>
          <w:spacing w:val="-5"/>
          <w:sz w:val="20"/>
          <w:szCs w:val="20"/>
        </w:rPr>
        <w:t xml:space="preserve"> </w:t>
      </w:r>
      <w:r w:rsidRPr="00D978DC">
        <w:rPr>
          <w:sz w:val="20"/>
          <w:szCs w:val="20"/>
        </w:rPr>
        <w:t>and</w:t>
      </w:r>
      <w:r w:rsidRPr="00D978DC">
        <w:rPr>
          <w:spacing w:val="-6"/>
          <w:sz w:val="20"/>
          <w:szCs w:val="20"/>
        </w:rPr>
        <w:t xml:space="preserve"> </w:t>
      </w:r>
      <w:r w:rsidRPr="00D978DC">
        <w:rPr>
          <w:sz w:val="20"/>
          <w:szCs w:val="20"/>
        </w:rPr>
        <w:t>now</w:t>
      </w:r>
      <w:r w:rsidRPr="00D978DC">
        <w:rPr>
          <w:spacing w:val="-7"/>
          <w:sz w:val="20"/>
          <w:szCs w:val="20"/>
        </w:rPr>
        <w:t xml:space="preserve"> </w:t>
      </w:r>
      <w:r w:rsidRPr="00D978DC">
        <w:rPr>
          <w:sz w:val="20"/>
          <w:szCs w:val="20"/>
        </w:rPr>
        <w:t>stand</w:t>
      </w:r>
      <w:r w:rsidRPr="00D978DC">
        <w:rPr>
          <w:spacing w:val="-5"/>
          <w:sz w:val="20"/>
          <w:szCs w:val="20"/>
        </w:rPr>
        <w:t xml:space="preserve"> </w:t>
      </w:r>
      <w:r w:rsidRPr="00D978DC">
        <w:rPr>
          <w:sz w:val="20"/>
          <w:szCs w:val="20"/>
        </w:rPr>
        <w:t>at</w:t>
      </w:r>
      <w:r w:rsidRPr="00D978DC">
        <w:rPr>
          <w:spacing w:val="-6"/>
          <w:sz w:val="20"/>
          <w:szCs w:val="20"/>
        </w:rPr>
        <w:t xml:space="preserve"> </w:t>
      </w:r>
      <w:r w:rsidRPr="00D978DC">
        <w:rPr>
          <w:sz w:val="20"/>
          <w:szCs w:val="20"/>
        </w:rPr>
        <w:t>over</w:t>
      </w:r>
      <w:r w:rsidRPr="00D978DC">
        <w:rPr>
          <w:spacing w:val="-6"/>
          <w:sz w:val="20"/>
          <w:szCs w:val="20"/>
        </w:rPr>
        <w:t xml:space="preserve"> </w:t>
      </w:r>
      <w:r w:rsidRPr="00D978DC">
        <w:rPr>
          <w:sz w:val="20"/>
          <w:szCs w:val="20"/>
        </w:rPr>
        <w:t xml:space="preserve">65 percent. However, series completion stays below 50 percent </w:t>
      </w:r>
      <w:r w:rsidRPr="00D978DC">
        <w:rPr>
          <w:color w:val="FF0000"/>
          <w:sz w:val="20"/>
          <w:szCs w:val="20"/>
        </w:rPr>
        <w:t>[27]</w:t>
      </w:r>
      <w:r w:rsidRPr="00D978DC">
        <w:rPr>
          <w:sz w:val="20"/>
          <w:szCs w:val="20"/>
        </w:rPr>
        <w:t xml:space="preserve">. Oliver, et al. </w:t>
      </w:r>
      <w:r w:rsidRPr="00D978DC">
        <w:rPr>
          <w:color w:val="FF0000"/>
          <w:sz w:val="20"/>
          <w:szCs w:val="20"/>
        </w:rPr>
        <w:t>[1</w:t>
      </w:r>
      <w:r w:rsidR="00CA7369">
        <w:rPr>
          <w:color w:val="FF0000"/>
          <w:sz w:val="20"/>
          <w:szCs w:val="20"/>
        </w:rPr>
        <w:t>7</w:t>
      </w:r>
      <w:r w:rsidRPr="00D978DC">
        <w:rPr>
          <w:color w:val="FF0000"/>
          <w:sz w:val="20"/>
          <w:szCs w:val="20"/>
        </w:rPr>
        <w:t>]</w:t>
      </w:r>
      <w:r w:rsidRPr="00D978DC">
        <w:rPr>
          <w:sz w:val="20"/>
          <w:szCs w:val="20"/>
        </w:rPr>
        <w:t xml:space="preserve"> reported that even in the absence of a national school immunization program in the United States, there are opportunities in the school setting that can be used to improve vaccination rates. These opportunities include 1) school-located vaccination clinics 2) school mandates for HPV vaccination</w:t>
      </w:r>
      <w:r w:rsidRPr="00D978DC">
        <w:rPr>
          <w:spacing w:val="-10"/>
          <w:sz w:val="20"/>
          <w:szCs w:val="20"/>
        </w:rPr>
        <w:t xml:space="preserve"> </w:t>
      </w:r>
      <w:r w:rsidRPr="00D978DC">
        <w:rPr>
          <w:sz w:val="20"/>
          <w:szCs w:val="20"/>
        </w:rPr>
        <w:t>and</w:t>
      </w:r>
      <w:r w:rsidRPr="00D978DC">
        <w:rPr>
          <w:spacing w:val="-11"/>
          <w:sz w:val="20"/>
          <w:szCs w:val="20"/>
        </w:rPr>
        <w:t xml:space="preserve"> </w:t>
      </w:r>
      <w:r w:rsidRPr="00D978DC">
        <w:rPr>
          <w:sz w:val="20"/>
          <w:szCs w:val="20"/>
        </w:rPr>
        <w:t>3)</w:t>
      </w:r>
      <w:r w:rsidRPr="00D978DC">
        <w:rPr>
          <w:spacing w:val="-10"/>
          <w:sz w:val="20"/>
          <w:szCs w:val="20"/>
        </w:rPr>
        <w:t xml:space="preserve"> </w:t>
      </w:r>
      <w:r w:rsidRPr="00D978DC">
        <w:rPr>
          <w:sz w:val="20"/>
          <w:szCs w:val="20"/>
        </w:rPr>
        <w:t>using</w:t>
      </w:r>
      <w:r w:rsidRPr="00D978DC">
        <w:rPr>
          <w:spacing w:val="-9"/>
          <w:sz w:val="20"/>
          <w:szCs w:val="20"/>
        </w:rPr>
        <w:t xml:space="preserve"> </w:t>
      </w:r>
      <w:r w:rsidRPr="00D978DC">
        <w:rPr>
          <w:sz w:val="20"/>
          <w:szCs w:val="20"/>
        </w:rPr>
        <w:t>School-Based</w:t>
      </w:r>
      <w:r w:rsidRPr="00D978DC">
        <w:rPr>
          <w:spacing w:val="-11"/>
          <w:sz w:val="20"/>
          <w:szCs w:val="20"/>
        </w:rPr>
        <w:t xml:space="preserve"> </w:t>
      </w:r>
      <w:r w:rsidRPr="00D978DC">
        <w:rPr>
          <w:sz w:val="20"/>
          <w:szCs w:val="20"/>
        </w:rPr>
        <w:t>Health</w:t>
      </w:r>
      <w:r w:rsidRPr="00D978DC">
        <w:rPr>
          <w:spacing w:val="-10"/>
          <w:sz w:val="20"/>
          <w:szCs w:val="20"/>
        </w:rPr>
        <w:t xml:space="preserve"> </w:t>
      </w:r>
      <w:r w:rsidRPr="00D978DC">
        <w:rPr>
          <w:sz w:val="20"/>
          <w:szCs w:val="20"/>
        </w:rPr>
        <w:t>Centers</w:t>
      </w:r>
      <w:r w:rsidRPr="00D978DC">
        <w:rPr>
          <w:spacing w:val="-11"/>
          <w:sz w:val="20"/>
          <w:szCs w:val="20"/>
        </w:rPr>
        <w:t xml:space="preserve"> </w:t>
      </w:r>
      <w:r w:rsidRPr="00D978DC">
        <w:rPr>
          <w:sz w:val="20"/>
          <w:szCs w:val="20"/>
        </w:rPr>
        <w:t>(SBHCs).</w:t>
      </w:r>
      <w:r w:rsidRPr="00D978DC">
        <w:rPr>
          <w:spacing w:val="-11"/>
          <w:sz w:val="20"/>
          <w:szCs w:val="20"/>
        </w:rPr>
        <w:t xml:space="preserve"> </w:t>
      </w:r>
      <w:r w:rsidRPr="00D978DC">
        <w:rPr>
          <w:sz w:val="20"/>
          <w:szCs w:val="20"/>
        </w:rPr>
        <w:t>According</w:t>
      </w:r>
      <w:r w:rsidRPr="00D978DC">
        <w:rPr>
          <w:spacing w:val="-12"/>
          <w:sz w:val="20"/>
          <w:szCs w:val="20"/>
        </w:rPr>
        <w:t xml:space="preserve"> </w:t>
      </w:r>
      <w:r w:rsidRPr="00D978DC">
        <w:rPr>
          <w:sz w:val="20"/>
          <w:szCs w:val="20"/>
        </w:rPr>
        <w:t>to</w:t>
      </w:r>
      <w:r w:rsidRPr="00D978DC">
        <w:rPr>
          <w:spacing w:val="-11"/>
          <w:sz w:val="20"/>
          <w:szCs w:val="20"/>
        </w:rPr>
        <w:t xml:space="preserve"> </w:t>
      </w:r>
      <w:r w:rsidRPr="00D978DC">
        <w:rPr>
          <w:sz w:val="20"/>
          <w:szCs w:val="20"/>
        </w:rPr>
        <w:t>Blake</w:t>
      </w:r>
      <w:r w:rsidRPr="00D978DC">
        <w:rPr>
          <w:spacing w:val="-12"/>
          <w:sz w:val="20"/>
          <w:szCs w:val="20"/>
        </w:rPr>
        <w:t xml:space="preserve"> </w:t>
      </w:r>
      <w:r w:rsidRPr="00D978DC">
        <w:rPr>
          <w:sz w:val="20"/>
          <w:szCs w:val="20"/>
        </w:rPr>
        <w:t>&amp;</w:t>
      </w:r>
      <w:r w:rsidRPr="00D978DC">
        <w:rPr>
          <w:spacing w:val="-12"/>
          <w:sz w:val="20"/>
          <w:szCs w:val="20"/>
        </w:rPr>
        <w:t xml:space="preserve"> </w:t>
      </w:r>
      <w:r w:rsidRPr="00D978DC">
        <w:rPr>
          <w:sz w:val="20"/>
          <w:szCs w:val="20"/>
        </w:rPr>
        <w:t>Middleman</w:t>
      </w:r>
      <w:r w:rsidRPr="00D978DC">
        <w:rPr>
          <w:color w:val="FF0000"/>
          <w:sz w:val="20"/>
          <w:szCs w:val="20"/>
        </w:rPr>
        <w:t xml:space="preserve"> [28]</w:t>
      </w:r>
      <w:r w:rsidRPr="00D978DC">
        <w:rPr>
          <w:sz w:val="20"/>
          <w:szCs w:val="20"/>
        </w:rPr>
        <w:t>, parents have expressed an interest in having their children receive the HPV vaccine in schools,</w:t>
      </w:r>
      <w:r w:rsidRPr="00D978DC">
        <w:rPr>
          <w:spacing w:val="36"/>
          <w:sz w:val="20"/>
          <w:szCs w:val="20"/>
        </w:rPr>
        <w:t xml:space="preserve"> </w:t>
      </w:r>
      <w:r w:rsidRPr="00D978DC">
        <w:rPr>
          <w:sz w:val="20"/>
          <w:szCs w:val="20"/>
        </w:rPr>
        <w:t>and</w:t>
      </w:r>
      <w:r w:rsidRPr="00D978DC">
        <w:rPr>
          <w:spacing w:val="36"/>
          <w:sz w:val="20"/>
          <w:szCs w:val="20"/>
        </w:rPr>
        <w:t xml:space="preserve"> </w:t>
      </w:r>
      <w:r w:rsidRPr="00D978DC">
        <w:rPr>
          <w:sz w:val="20"/>
          <w:szCs w:val="20"/>
        </w:rPr>
        <w:t>some</w:t>
      </w:r>
      <w:r w:rsidRPr="00D978DC">
        <w:rPr>
          <w:spacing w:val="35"/>
          <w:sz w:val="20"/>
          <w:szCs w:val="20"/>
        </w:rPr>
        <w:t xml:space="preserve"> </w:t>
      </w:r>
      <w:r w:rsidRPr="00D978DC">
        <w:rPr>
          <w:sz w:val="20"/>
          <w:szCs w:val="20"/>
        </w:rPr>
        <w:t>school-based</w:t>
      </w:r>
      <w:r w:rsidRPr="00D978DC">
        <w:rPr>
          <w:spacing w:val="36"/>
          <w:sz w:val="20"/>
          <w:szCs w:val="20"/>
        </w:rPr>
        <w:t xml:space="preserve"> </w:t>
      </w:r>
      <w:r w:rsidRPr="00D978DC">
        <w:rPr>
          <w:sz w:val="20"/>
          <w:szCs w:val="20"/>
        </w:rPr>
        <w:t>initiatives</w:t>
      </w:r>
      <w:r w:rsidRPr="00D978DC">
        <w:rPr>
          <w:spacing w:val="36"/>
          <w:sz w:val="20"/>
          <w:szCs w:val="20"/>
        </w:rPr>
        <w:t xml:space="preserve"> </w:t>
      </w:r>
      <w:r w:rsidRPr="00D978DC">
        <w:rPr>
          <w:sz w:val="20"/>
          <w:szCs w:val="20"/>
        </w:rPr>
        <w:t>have</w:t>
      </w:r>
      <w:r w:rsidRPr="00D978DC">
        <w:rPr>
          <w:spacing w:val="35"/>
          <w:sz w:val="20"/>
          <w:szCs w:val="20"/>
        </w:rPr>
        <w:t xml:space="preserve"> </w:t>
      </w:r>
      <w:r w:rsidRPr="00D978DC">
        <w:rPr>
          <w:sz w:val="20"/>
          <w:szCs w:val="20"/>
        </w:rPr>
        <w:t>proven</w:t>
      </w:r>
      <w:r w:rsidRPr="00D978DC">
        <w:rPr>
          <w:spacing w:val="36"/>
          <w:sz w:val="20"/>
          <w:szCs w:val="20"/>
        </w:rPr>
        <w:t xml:space="preserve"> </w:t>
      </w:r>
      <w:r w:rsidRPr="00D978DC">
        <w:rPr>
          <w:sz w:val="20"/>
          <w:szCs w:val="20"/>
        </w:rPr>
        <w:t>to</w:t>
      </w:r>
      <w:r w:rsidRPr="00D978DC">
        <w:rPr>
          <w:spacing w:val="36"/>
          <w:sz w:val="20"/>
          <w:szCs w:val="20"/>
        </w:rPr>
        <w:t xml:space="preserve"> </w:t>
      </w:r>
      <w:r w:rsidRPr="00D978DC">
        <w:rPr>
          <w:sz w:val="20"/>
          <w:szCs w:val="20"/>
        </w:rPr>
        <w:t>be</w:t>
      </w:r>
      <w:r w:rsidRPr="00D978DC">
        <w:rPr>
          <w:spacing w:val="35"/>
          <w:sz w:val="20"/>
          <w:szCs w:val="20"/>
        </w:rPr>
        <w:t xml:space="preserve"> </w:t>
      </w:r>
      <w:r w:rsidRPr="00D978DC">
        <w:rPr>
          <w:sz w:val="20"/>
          <w:szCs w:val="20"/>
        </w:rPr>
        <w:t>effective.</w:t>
      </w:r>
      <w:r w:rsidRPr="00D978DC">
        <w:rPr>
          <w:spacing w:val="38"/>
          <w:sz w:val="20"/>
          <w:szCs w:val="20"/>
        </w:rPr>
        <w:t xml:space="preserve"> </w:t>
      </w:r>
      <w:r w:rsidRPr="00D978DC">
        <w:rPr>
          <w:sz w:val="20"/>
          <w:szCs w:val="20"/>
        </w:rPr>
        <w:t>According</w:t>
      </w:r>
      <w:r w:rsidRPr="00D978DC">
        <w:rPr>
          <w:spacing w:val="36"/>
          <w:sz w:val="20"/>
          <w:szCs w:val="20"/>
        </w:rPr>
        <w:t xml:space="preserve"> </w:t>
      </w:r>
      <w:r w:rsidRPr="00D978DC">
        <w:rPr>
          <w:sz w:val="20"/>
          <w:szCs w:val="20"/>
        </w:rPr>
        <w:t>to</w:t>
      </w:r>
      <w:r w:rsidRPr="00D978DC">
        <w:rPr>
          <w:spacing w:val="36"/>
          <w:sz w:val="20"/>
          <w:szCs w:val="20"/>
        </w:rPr>
        <w:t xml:space="preserve"> </w:t>
      </w:r>
      <w:r w:rsidRPr="00D978DC">
        <w:rPr>
          <w:sz w:val="20"/>
          <w:szCs w:val="20"/>
        </w:rPr>
        <w:t>reports, adolescents</w:t>
      </w:r>
      <w:r w:rsidRPr="00D978DC">
        <w:rPr>
          <w:spacing w:val="-8"/>
          <w:sz w:val="20"/>
          <w:szCs w:val="20"/>
        </w:rPr>
        <w:t xml:space="preserve"> </w:t>
      </w:r>
      <w:r w:rsidRPr="00D978DC">
        <w:rPr>
          <w:sz w:val="20"/>
          <w:szCs w:val="20"/>
        </w:rPr>
        <w:t>served</w:t>
      </w:r>
      <w:r w:rsidRPr="00D978DC">
        <w:rPr>
          <w:spacing w:val="-9"/>
          <w:sz w:val="20"/>
          <w:szCs w:val="20"/>
        </w:rPr>
        <w:t xml:space="preserve"> </w:t>
      </w:r>
      <w:r w:rsidRPr="00D978DC">
        <w:rPr>
          <w:sz w:val="20"/>
          <w:szCs w:val="20"/>
        </w:rPr>
        <w:t>by</w:t>
      </w:r>
      <w:r w:rsidRPr="00D978DC">
        <w:rPr>
          <w:spacing w:val="-9"/>
          <w:sz w:val="20"/>
          <w:szCs w:val="20"/>
        </w:rPr>
        <w:t xml:space="preserve"> </w:t>
      </w:r>
      <w:r w:rsidRPr="00D978DC">
        <w:rPr>
          <w:sz w:val="20"/>
          <w:szCs w:val="20"/>
        </w:rPr>
        <w:t>SBHCs</w:t>
      </w:r>
      <w:r w:rsidRPr="00D978DC">
        <w:rPr>
          <w:spacing w:val="-7"/>
          <w:sz w:val="20"/>
          <w:szCs w:val="20"/>
        </w:rPr>
        <w:t xml:space="preserve"> </w:t>
      </w:r>
      <w:r w:rsidRPr="00D978DC">
        <w:rPr>
          <w:sz w:val="20"/>
          <w:szCs w:val="20"/>
        </w:rPr>
        <w:t>have</w:t>
      </w:r>
      <w:r w:rsidRPr="00D978DC">
        <w:rPr>
          <w:spacing w:val="-10"/>
          <w:sz w:val="20"/>
          <w:szCs w:val="20"/>
        </w:rPr>
        <w:t xml:space="preserve"> </w:t>
      </w:r>
      <w:r w:rsidRPr="00D978DC">
        <w:rPr>
          <w:sz w:val="20"/>
          <w:szCs w:val="20"/>
        </w:rPr>
        <w:t>higher</w:t>
      </w:r>
      <w:r w:rsidRPr="00D978DC">
        <w:rPr>
          <w:spacing w:val="-9"/>
          <w:sz w:val="20"/>
          <w:szCs w:val="20"/>
        </w:rPr>
        <w:t xml:space="preserve"> </w:t>
      </w:r>
      <w:r w:rsidRPr="00D978DC">
        <w:rPr>
          <w:sz w:val="20"/>
          <w:szCs w:val="20"/>
        </w:rPr>
        <w:t>vaccination</w:t>
      </w:r>
      <w:r w:rsidRPr="00D978DC">
        <w:rPr>
          <w:spacing w:val="-9"/>
          <w:sz w:val="20"/>
          <w:szCs w:val="20"/>
        </w:rPr>
        <w:t xml:space="preserve"> </w:t>
      </w:r>
      <w:r w:rsidRPr="00D978DC">
        <w:rPr>
          <w:sz w:val="20"/>
          <w:szCs w:val="20"/>
        </w:rPr>
        <w:t>rates</w:t>
      </w:r>
      <w:r w:rsidRPr="00D978DC">
        <w:rPr>
          <w:spacing w:val="-7"/>
          <w:sz w:val="20"/>
          <w:szCs w:val="20"/>
        </w:rPr>
        <w:t xml:space="preserve"> </w:t>
      </w:r>
      <w:r w:rsidRPr="00D978DC">
        <w:rPr>
          <w:sz w:val="20"/>
          <w:szCs w:val="20"/>
        </w:rPr>
        <w:t>for</w:t>
      </w:r>
      <w:r w:rsidRPr="00D978DC">
        <w:rPr>
          <w:spacing w:val="-9"/>
          <w:sz w:val="20"/>
          <w:szCs w:val="20"/>
        </w:rPr>
        <w:t xml:space="preserve"> </w:t>
      </w:r>
      <w:r w:rsidRPr="00D978DC">
        <w:rPr>
          <w:sz w:val="20"/>
          <w:szCs w:val="20"/>
        </w:rPr>
        <w:t>influenza,</w:t>
      </w:r>
      <w:r w:rsidRPr="00D978DC">
        <w:rPr>
          <w:spacing w:val="-9"/>
          <w:sz w:val="20"/>
          <w:szCs w:val="20"/>
        </w:rPr>
        <w:t xml:space="preserve"> </w:t>
      </w:r>
      <w:r w:rsidRPr="00D978DC">
        <w:rPr>
          <w:sz w:val="20"/>
          <w:szCs w:val="20"/>
        </w:rPr>
        <w:t>hepatitis</w:t>
      </w:r>
      <w:r w:rsidRPr="00D978DC">
        <w:rPr>
          <w:spacing w:val="-8"/>
          <w:sz w:val="20"/>
          <w:szCs w:val="20"/>
        </w:rPr>
        <w:t xml:space="preserve"> </w:t>
      </w:r>
      <w:r w:rsidRPr="00D978DC">
        <w:rPr>
          <w:sz w:val="20"/>
          <w:szCs w:val="20"/>
        </w:rPr>
        <w:t>B,</w:t>
      </w:r>
      <w:r w:rsidRPr="00D978DC">
        <w:rPr>
          <w:spacing w:val="-8"/>
          <w:sz w:val="20"/>
          <w:szCs w:val="20"/>
        </w:rPr>
        <w:t xml:space="preserve"> </w:t>
      </w:r>
      <w:r w:rsidRPr="00D978DC">
        <w:rPr>
          <w:sz w:val="20"/>
          <w:szCs w:val="20"/>
        </w:rPr>
        <w:t>tetanus,</w:t>
      </w:r>
      <w:r w:rsidRPr="00D978DC">
        <w:rPr>
          <w:spacing w:val="-9"/>
          <w:sz w:val="20"/>
          <w:szCs w:val="20"/>
        </w:rPr>
        <w:t xml:space="preserve"> </w:t>
      </w:r>
      <w:r w:rsidRPr="00D978DC">
        <w:rPr>
          <w:sz w:val="20"/>
          <w:szCs w:val="20"/>
        </w:rPr>
        <w:t xml:space="preserve">and HPV completion. Therefore, SBHCs are in a unique position to overcome HPV vaccine barriers </w:t>
      </w:r>
      <w:r w:rsidRPr="00D978DC">
        <w:rPr>
          <w:color w:val="FF0000"/>
          <w:sz w:val="20"/>
          <w:szCs w:val="20"/>
        </w:rPr>
        <w:t>[1</w:t>
      </w:r>
      <w:r w:rsidR="006B1511">
        <w:rPr>
          <w:color w:val="FF0000"/>
          <w:sz w:val="20"/>
          <w:szCs w:val="20"/>
        </w:rPr>
        <w:t>7</w:t>
      </w:r>
      <w:r w:rsidRPr="00D978DC">
        <w:rPr>
          <w:color w:val="FF0000"/>
          <w:sz w:val="20"/>
          <w:szCs w:val="20"/>
        </w:rPr>
        <w:t>]</w:t>
      </w:r>
      <w:r w:rsidRPr="00D978DC">
        <w:rPr>
          <w:sz w:val="20"/>
          <w:szCs w:val="20"/>
        </w:rPr>
        <w:t>.</w:t>
      </w:r>
    </w:p>
    <w:p w:rsidR="00C33565" w:rsidRPr="00D978DC" w:rsidRDefault="00C33565" w:rsidP="00C33565">
      <w:pPr>
        <w:contextualSpacing/>
        <w:mirrorIndents/>
        <w:jc w:val="both"/>
        <w:rPr>
          <w:sz w:val="20"/>
          <w:szCs w:val="20"/>
        </w:rPr>
      </w:pPr>
    </w:p>
    <w:p w:rsidR="00C33565" w:rsidRPr="00D978DC" w:rsidRDefault="00C33565" w:rsidP="00C33565">
      <w:pPr>
        <w:contextualSpacing/>
        <w:mirrorIndents/>
        <w:jc w:val="both"/>
        <w:rPr>
          <w:sz w:val="20"/>
          <w:szCs w:val="20"/>
        </w:rPr>
      </w:pPr>
      <w:r w:rsidRPr="00D978DC">
        <w:rPr>
          <w:sz w:val="20"/>
          <w:szCs w:val="20"/>
        </w:rPr>
        <w:t>After</w:t>
      </w:r>
      <w:r w:rsidRPr="00D978DC">
        <w:rPr>
          <w:spacing w:val="-8"/>
          <w:sz w:val="20"/>
          <w:szCs w:val="20"/>
        </w:rPr>
        <w:t xml:space="preserve"> </w:t>
      </w:r>
      <w:r w:rsidRPr="00D978DC">
        <w:rPr>
          <w:sz w:val="20"/>
          <w:szCs w:val="20"/>
        </w:rPr>
        <w:t>careful</w:t>
      </w:r>
      <w:r w:rsidRPr="00D978DC">
        <w:rPr>
          <w:spacing w:val="-6"/>
          <w:sz w:val="20"/>
          <w:szCs w:val="20"/>
        </w:rPr>
        <w:t xml:space="preserve"> </w:t>
      </w:r>
      <w:r w:rsidRPr="00D978DC">
        <w:rPr>
          <w:sz w:val="20"/>
          <w:szCs w:val="20"/>
        </w:rPr>
        <w:t>review</w:t>
      </w:r>
      <w:r w:rsidRPr="00D978DC">
        <w:rPr>
          <w:spacing w:val="-7"/>
          <w:sz w:val="20"/>
          <w:szCs w:val="20"/>
        </w:rPr>
        <w:t xml:space="preserve"> </w:t>
      </w:r>
      <w:r w:rsidRPr="00D978DC">
        <w:rPr>
          <w:sz w:val="20"/>
          <w:szCs w:val="20"/>
        </w:rPr>
        <w:t>of</w:t>
      </w:r>
      <w:r w:rsidRPr="00D978DC">
        <w:rPr>
          <w:spacing w:val="-7"/>
          <w:sz w:val="20"/>
          <w:szCs w:val="20"/>
        </w:rPr>
        <w:t xml:space="preserve"> </w:t>
      </w:r>
      <w:r w:rsidRPr="00D978DC">
        <w:rPr>
          <w:sz w:val="20"/>
          <w:szCs w:val="20"/>
        </w:rPr>
        <w:t>the</w:t>
      </w:r>
      <w:r w:rsidRPr="00D978DC">
        <w:rPr>
          <w:spacing w:val="-7"/>
          <w:sz w:val="20"/>
          <w:szCs w:val="20"/>
        </w:rPr>
        <w:t xml:space="preserve"> </w:t>
      </w:r>
      <w:r w:rsidRPr="00D978DC">
        <w:rPr>
          <w:sz w:val="20"/>
          <w:szCs w:val="20"/>
        </w:rPr>
        <w:t>literature,</w:t>
      </w:r>
      <w:r w:rsidRPr="00D978DC">
        <w:rPr>
          <w:spacing w:val="-6"/>
          <w:sz w:val="20"/>
          <w:szCs w:val="20"/>
        </w:rPr>
        <w:t xml:space="preserve"> </w:t>
      </w:r>
      <w:r w:rsidRPr="00D978DC">
        <w:rPr>
          <w:sz w:val="20"/>
          <w:szCs w:val="20"/>
        </w:rPr>
        <w:t>there</w:t>
      </w:r>
      <w:r w:rsidRPr="00D978DC">
        <w:rPr>
          <w:spacing w:val="-8"/>
          <w:sz w:val="20"/>
          <w:szCs w:val="20"/>
        </w:rPr>
        <w:t xml:space="preserve"> </w:t>
      </w:r>
      <w:r w:rsidRPr="00D978DC">
        <w:rPr>
          <w:sz w:val="20"/>
          <w:szCs w:val="20"/>
        </w:rPr>
        <w:t>are</w:t>
      </w:r>
      <w:r w:rsidRPr="00D978DC">
        <w:rPr>
          <w:spacing w:val="-7"/>
          <w:sz w:val="20"/>
          <w:szCs w:val="20"/>
        </w:rPr>
        <w:t xml:space="preserve"> </w:t>
      </w:r>
      <w:r w:rsidRPr="00D978DC">
        <w:rPr>
          <w:sz w:val="20"/>
          <w:szCs w:val="20"/>
        </w:rPr>
        <w:t>many</w:t>
      </w:r>
      <w:r w:rsidRPr="00D978DC">
        <w:rPr>
          <w:spacing w:val="-6"/>
          <w:sz w:val="20"/>
          <w:szCs w:val="20"/>
        </w:rPr>
        <w:t xml:space="preserve"> </w:t>
      </w:r>
      <w:r w:rsidRPr="00D978DC">
        <w:rPr>
          <w:sz w:val="20"/>
          <w:szCs w:val="20"/>
        </w:rPr>
        <w:t>positives</w:t>
      </w:r>
      <w:r w:rsidRPr="00D978DC">
        <w:rPr>
          <w:spacing w:val="-6"/>
          <w:sz w:val="20"/>
          <w:szCs w:val="20"/>
        </w:rPr>
        <w:t xml:space="preserve"> </w:t>
      </w:r>
      <w:r w:rsidRPr="00D978DC">
        <w:rPr>
          <w:sz w:val="20"/>
          <w:szCs w:val="20"/>
        </w:rPr>
        <w:t>to</w:t>
      </w:r>
      <w:r w:rsidRPr="00D978DC">
        <w:rPr>
          <w:spacing w:val="-6"/>
          <w:sz w:val="20"/>
          <w:szCs w:val="20"/>
        </w:rPr>
        <w:t xml:space="preserve"> </w:t>
      </w:r>
      <w:r w:rsidRPr="00D978DC">
        <w:rPr>
          <w:sz w:val="20"/>
          <w:szCs w:val="20"/>
        </w:rPr>
        <w:t>using</w:t>
      </w:r>
      <w:r w:rsidRPr="00D978DC">
        <w:rPr>
          <w:spacing w:val="-6"/>
          <w:sz w:val="20"/>
          <w:szCs w:val="20"/>
        </w:rPr>
        <w:t xml:space="preserve"> </w:t>
      </w:r>
      <w:r w:rsidRPr="00D978DC">
        <w:rPr>
          <w:sz w:val="20"/>
          <w:szCs w:val="20"/>
        </w:rPr>
        <w:t>a</w:t>
      </w:r>
      <w:r w:rsidRPr="00D978DC">
        <w:rPr>
          <w:spacing w:val="-10"/>
          <w:sz w:val="20"/>
          <w:szCs w:val="20"/>
        </w:rPr>
        <w:t xml:space="preserve"> </w:t>
      </w:r>
      <w:r w:rsidRPr="00D978DC">
        <w:rPr>
          <w:sz w:val="20"/>
          <w:szCs w:val="20"/>
        </w:rPr>
        <w:t>SBHC</w:t>
      </w:r>
      <w:r w:rsidRPr="00D978DC">
        <w:rPr>
          <w:spacing w:val="-7"/>
          <w:sz w:val="20"/>
          <w:szCs w:val="20"/>
        </w:rPr>
        <w:t xml:space="preserve"> </w:t>
      </w:r>
      <w:r w:rsidRPr="00D978DC">
        <w:rPr>
          <w:sz w:val="20"/>
          <w:szCs w:val="20"/>
        </w:rPr>
        <w:t>to</w:t>
      </w:r>
      <w:r w:rsidRPr="00D978DC">
        <w:rPr>
          <w:spacing w:val="-6"/>
          <w:sz w:val="20"/>
          <w:szCs w:val="20"/>
        </w:rPr>
        <w:t xml:space="preserve"> </w:t>
      </w:r>
      <w:r w:rsidRPr="00D978DC">
        <w:rPr>
          <w:sz w:val="20"/>
          <w:szCs w:val="20"/>
        </w:rPr>
        <w:t>increase vaccination rates of all vaccines but especially Humann Papillomavirus (HPV). There are strategies</w:t>
      </w:r>
      <w:r w:rsidRPr="00D978DC">
        <w:rPr>
          <w:spacing w:val="-14"/>
          <w:sz w:val="20"/>
          <w:szCs w:val="20"/>
        </w:rPr>
        <w:t xml:space="preserve"> </w:t>
      </w:r>
      <w:r w:rsidRPr="00D978DC">
        <w:rPr>
          <w:sz w:val="20"/>
          <w:szCs w:val="20"/>
        </w:rPr>
        <w:t>that</w:t>
      </w:r>
      <w:r w:rsidRPr="00D978DC">
        <w:rPr>
          <w:spacing w:val="-14"/>
          <w:sz w:val="20"/>
          <w:szCs w:val="20"/>
        </w:rPr>
        <w:t xml:space="preserve"> </w:t>
      </w:r>
      <w:r w:rsidRPr="00D978DC">
        <w:rPr>
          <w:sz w:val="20"/>
          <w:szCs w:val="20"/>
        </w:rPr>
        <w:t>can</w:t>
      </w:r>
      <w:r w:rsidRPr="00D978DC">
        <w:rPr>
          <w:spacing w:val="-14"/>
          <w:sz w:val="20"/>
          <w:szCs w:val="20"/>
        </w:rPr>
        <w:t xml:space="preserve"> </w:t>
      </w:r>
      <w:r w:rsidRPr="00D978DC">
        <w:rPr>
          <w:sz w:val="20"/>
          <w:szCs w:val="20"/>
        </w:rPr>
        <w:t>be</w:t>
      </w:r>
      <w:r w:rsidRPr="00D978DC">
        <w:rPr>
          <w:spacing w:val="-15"/>
          <w:sz w:val="20"/>
          <w:szCs w:val="20"/>
        </w:rPr>
        <w:t xml:space="preserve"> </w:t>
      </w:r>
      <w:r w:rsidRPr="00D978DC">
        <w:rPr>
          <w:sz w:val="20"/>
          <w:szCs w:val="20"/>
        </w:rPr>
        <w:t>implemented</w:t>
      </w:r>
      <w:r w:rsidRPr="00D978DC">
        <w:rPr>
          <w:spacing w:val="-14"/>
          <w:sz w:val="20"/>
          <w:szCs w:val="20"/>
        </w:rPr>
        <w:t xml:space="preserve"> </w:t>
      </w:r>
      <w:r w:rsidRPr="00D978DC">
        <w:rPr>
          <w:sz w:val="20"/>
          <w:szCs w:val="20"/>
        </w:rPr>
        <w:t>to</w:t>
      </w:r>
      <w:r w:rsidRPr="00D978DC">
        <w:rPr>
          <w:spacing w:val="-14"/>
          <w:sz w:val="20"/>
          <w:szCs w:val="20"/>
        </w:rPr>
        <w:t xml:space="preserve"> </w:t>
      </w:r>
      <w:r w:rsidRPr="00D978DC">
        <w:rPr>
          <w:sz w:val="20"/>
          <w:szCs w:val="20"/>
        </w:rPr>
        <w:t>improve</w:t>
      </w:r>
      <w:r w:rsidRPr="00D978DC">
        <w:rPr>
          <w:spacing w:val="-14"/>
          <w:sz w:val="20"/>
          <w:szCs w:val="20"/>
        </w:rPr>
        <w:t xml:space="preserve"> </w:t>
      </w:r>
      <w:r w:rsidRPr="00D978DC">
        <w:rPr>
          <w:sz w:val="20"/>
          <w:szCs w:val="20"/>
        </w:rPr>
        <w:t>vaccination</w:t>
      </w:r>
      <w:r w:rsidRPr="00D978DC">
        <w:rPr>
          <w:spacing w:val="-14"/>
          <w:sz w:val="20"/>
          <w:szCs w:val="20"/>
        </w:rPr>
        <w:t xml:space="preserve"> </w:t>
      </w:r>
      <w:r w:rsidRPr="00D978DC">
        <w:rPr>
          <w:sz w:val="20"/>
          <w:szCs w:val="20"/>
        </w:rPr>
        <w:t>success</w:t>
      </w:r>
      <w:r w:rsidRPr="00D978DC">
        <w:rPr>
          <w:spacing w:val="-14"/>
          <w:sz w:val="20"/>
          <w:szCs w:val="20"/>
        </w:rPr>
        <w:t xml:space="preserve"> </w:t>
      </w:r>
      <w:r w:rsidRPr="00D978DC">
        <w:rPr>
          <w:sz w:val="20"/>
          <w:szCs w:val="20"/>
        </w:rPr>
        <w:t>with</w:t>
      </w:r>
      <w:r w:rsidRPr="00D978DC">
        <w:rPr>
          <w:spacing w:val="-14"/>
          <w:sz w:val="20"/>
          <w:szCs w:val="20"/>
        </w:rPr>
        <w:t xml:space="preserve"> </w:t>
      </w:r>
      <w:r w:rsidRPr="00D978DC">
        <w:rPr>
          <w:sz w:val="20"/>
          <w:szCs w:val="20"/>
        </w:rPr>
        <w:t>SBHC’s.</w:t>
      </w:r>
      <w:r w:rsidRPr="00D978DC">
        <w:rPr>
          <w:spacing w:val="32"/>
          <w:sz w:val="20"/>
          <w:szCs w:val="20"/>
        </w:rPr>
        <w:t xml:space="preserve"> </w:t>
      </w:r>
      <w:r w:rsidRPr="00D978DC">
        <w:rPr>
          <w:sz w:val="20"/>
          <w:szCs w:val="20"/>
        </w:rPr>
        <w:t>The</w:t>
      </w:r>
      <w:r w:rsidRPr="00D978DC">
        <w:rPr>
          <w:spacing w:val="-15"/>
          <w:sz w:val="20"/>
          <w:szCs w:val="20"/>
        </w:rPr>
        <w:t xml:space="preserve"> </w:t>
      </w:r>
      <w:r w:rsidRPr="00D978DC">
        <w:rPr>
          <w:sz w:val="20"/>
          <w:szCs w:val="20"/>
        </w:rPr>
        <w:t>first</w:t>
      </w:r>
      <w:r w:rsidRPr="00D978DC">
        <w:rPr>
          <w:spacing w:val="-13"/>
          <w:sz w:val="20"/>
          <w:szCs w:val="20"/>
        </w:rPr>
        <w:t xml:space="preserve"> </w:t>
      </w:r>
      <w:r w:rsidRPr="00D978DC">
        <w:rPr>
          <w:sz w:val="20"/>
          <w:szCs w:val="20"/>
        </w:rPr>
        <w:t>strategy is education. Parents and guardians need to have a clear understanding of the vaccine. This involves the ability to ask questions about the vaccine, including safety, efficacy, and dispelling myths. The second strategy is convenience. Parents do not need to be present for their child to receive a vaccine. The parent or guardian does not need to miss work or schedule an appointment with their healthcare provider. Transportation can be an issue for many parents and guardians. Utilizing the SBHC for vaccination is helpful as the students are transported to school, often by school transportation which helps with reaching the vulnerable or hard to reach population.</w:t>
      </w:r>
      <w:r w:rsidRPr="00D978DC">
        <w:rPr>
          <w:spacing w:val="32"/>
          <w:sz w:val="20"/>
          <w:szCs w:val="20"/>
        </w:rPr>
        <w:t xml:space="preserve"> </w:t>
      </w:r>
      <w:r w:rsidRPr="00D978DC">
        <w:rPr>
          <w:sz w:val="20"/>
          <w:szCs w:val="20"/>
        </w:rPr>
        <w:t>Most SBHC’s are attached to the school or within close proximity to the school buildings, this in turn decreases</w:t>
      </w:r>
      <w:r w:rsidRPr="00D978DC">
        <w:rPr>
          <w:spacing w:val="-1"/>
          <w:sz w:val="20"/>
          <w:szCs w:val="20"/>
        </w:rPr>
        <w:t xml:space="preserve"> </w:t>
      </w:r>
      <w:r w:rsidRPr="00D978DC">
        <w:rPr>
          <w:sz w:val="20"/>
          <w:szCs w:val="20"/>
        </w:rPr>
        <w:t>stress.</w:t>
      </w:r>
    </w:p>
    <w:p w:rsidR="00C33565" w:rsidRPr="00D978DC" w:rsidRDefault="00C33565" w:rsidP="00C33565">
      <w:pPr>
        <w:contextualSpacing/>
        <w:mirrorIndents/>
        <w:jc w:val="both"/>
        <w:rPr>
          <w:sz w:val="20"/>
          <w:szCs w:val="20"/>
        </w:rPr>
      </w:pPr>
    </w:p>
    <w:p w:rsidR="00C33565" w:rsidRDefault="00C33565" w:rsidP="00C33565">
      <w:pPr>
        <w:contextualSpacing/>
        <w:mirrorIndents/>
        <w:jc w:val="both"/>
        <w:rPr>
          <w:sz w:val="20"/>
          <w:szCs w:val="20"/>
        </w:rPr>
      </w:pPr>
      <w:r w:rsidRPr="00D978DC">
        <w:rPr>
          <w:sz w:val="20"/>
          <w:szCs w:val="20"/>
        </w:rPr>
        <w:t>In closing, the information gathered through this literature review could be generalized to countries</w:t>
      </w:r>
      <w:r w:rsidRPr="00D978DC">
        <w:rPr>
          <w:spacing w:val="-12"/>
          <w:sz w:val="20"/>
          <w:szCs w:val="20"/>
        </w:rPr>
        <w:t xml:space="preserve"> </w:t>
      </w:r>
      <w:r w:rsidRPr="00D978DC">
        <w:rPr>
          <w:sz w:val="20"/>
          <w:szCs w:val="20"/>
        </w:rPr>
        <w:t>outside</w:t>
      </w:r>
      <w:r w:rsidRPr="00D978DC">
        <w:rPr>
          <w:spacing w:val="-12"/>
          <w:sz w:val="20"/>
          <w:szCs w:val="20"/>
        </w:rPr>
        <w:t xml:space="preserve"> </w:t>
      </w:r>
      <w:r w:rsidRPr="00D978DC">
        <w:rPr>
          <w:sz w:val="20"/>
          <w:szCs w:val="20"/>
        </w:rPr>
        <w:t>of</w:t>
      </w:r>
      <w:r w:rsidRPr="00D978DC">
        <w:rPr>
          <w:spacing w:val="-12"/>
          <w:sz w:val="20"/>
          <w:szCs w:val="20"/>
        </w:rPr>
        <w:t xml:space="preserve"> </w:t>
      </w:r>
      <w:r w:rsidRPr="00D978DC">
        <w:rPr>
          <w:sz w:val="20"/>
          <w:szCs w:val="20"/>
        </w:rPr>
        <w:t>the</w:t>
      </w:r>
      <w:r w:rsidRPr="00D978DC">
        <w:rPr>
          <w:spacing w:val="-12"/>
          <w:sz w:val="20"/>
          <w:szCs w:val="20"/>
        </w:rPr>
        <w:t xml:space="preserve"> </w:t>
      </w:r>
      <w:r w:rsidRPr="00D978DC">
        <w:rPr>
          <w:sz w:val="20"/>
          <w:szCs w:val="20"/>
        </w:rPr>
        <w:t>United</w:t>
      </w:r>
      <w:r w:rsidRPr="00D978DC">
        <w:rPr>
          <w:spacing w:val="-11"/>
          <w:sz w:val="20"/>
          <w:szCs w:val="20"/>
        </w:rPr>
        <w:t xml:space="preserve"> </w:t>
      </w:r>
      <w:r w:rsidRPr="00D978DC">
        <w:rPr>
          <w:sz w:val="20"/>
          <w:szCs w:val="20"/>
        </w:rPr>
        <w:t>States.</w:t>
      </w:r>
      <w:r w:rsidRPr="00D978DC">
        <w:rPr>
          <w:spacing w:val="38"/>
          <w:sz w:val="20"/>
          <w:szCs w:val="20"/>
        </w:rPr>
        <w:t xml:space="preserve"> </w:t>
      </w:r>
      <w:r w:rsidRPr="00D978DC">
        <w:rPr>
          <w:sz w:val="20"/>
          <w:szCs w:val="20"/>
        </w:rPr>
        <w:t>Many</w:t>
      </w:r>
      <w:r w:rsidRPr="00D978DC">
        <w:rPr>
          <w:spacing w:val="-11"/>
          <w:sz w:val="20"/>
          <w:szCs w:val="20"/>
        </w:rPr>
        <w:t xml:space="preserve"> </w:t>
      </w:r>
      <w:r w:rsidRPr="00D978DC">
        <w:rPr>
          <w:sz w:val="20"/>
          <w:szCs w:val="20"/>
        </w:rPr>
        <w:t>of</w:t>
      </w:r>
      <w:r w:rsidRPr="00D978DC">
        <w:rPr>
          <w:spacing w:val="-14"/>
          <w:sz w:val="20"/>
          <w:szCs w:val="20"/>
        </w:rPr>
        <w:t xml:space="preserve"> </w:t>
      </w:r>
      <w:r w:rsidRPr="00D978DC">
        <w:rPr>
          <w:sz w:val="20"/>
          <w:szCs w:val="20"/>
        </w:rPr>
        <w:t>the</w:t>
      </w:r>
      <w:r w:rsidRPr="00D978DC">
        <w:rPr>
          <w:spacing w:val="-12"/>
          <w:sz w:val="20"/>
          <w:szCs w:val="20"/>
        </w:rPr>
        <w:t xml:space="preserve"> </w:t>
      </w:r>
      <w:r w:rsidRPr="00D978DC">
        <w:rPr>
          <w:sz w:val="20"/>
          <w:szCs w:val="20"/>
        </w:rPr>
        <w:t>suggestions</w:t>
      </w:r>
      <w:r w:rsidRPr="00D978DC">
        <w:rPr>
          <w:spacing w:val="-12"/>
          <w:sz w:val="20"/>
          <w:szCs w:val="20"/>
        </w:rPr>
        <w:t xml:space="preserve"> </w:t>
      </w:r>
      <w:r w:rsidRPr="00D978DC">
        <w:rPr>
          <w:sz w:val="20"/>
          <w:szCs w:val="20"/>
        </w:rPr>
        <w:t>given</w:t>
      </w:r>
      <w:r w:rsidRPr="00D978DC">
        <w:rPr>
          <w:spacing w:val="-11"/>
          <w:sz w:val="20"/>
          <w:szCs w:val="20"/>
        </w:rPr>
        <w:t xml:space="preserve"> </w:t>
      </w:r>
      <w:r w:rsidRPr="00D978DC">
        <w:rPr>
          <w:sz w:val="20"/>
          <w:szCs w:val="20"/>
        </w:rPr>
        <w:t>to</w:t>
      </w:r>
      <w:r w:rsidRPr="00D978DC">
        <w:rPr>
          <w:spacing w:val="-13"/>
          <w:sz w:val="20"/>
          <w:szCs w:val="20"/>
        </w:rPr>
        <w:t xml:space="preserve"> </w:t>
      </w:r>
      <w:r w:rsidRPr="00D978DC">
        <w:rPr>
          <w:sz w:val="20"/>
          <w:szCs w:val="20"/>
        </w:rPr>
        <w:t>increase</w:t>
      </w:r>
      <w:r w:rsidRPr="00D978DC">
        <w:rPr>
          <w:spacing w:val="-12"/>
          <w:sz w:val="20"/>
          <w:szCs w:val="20"/>
        </w:rPr>
        <w:t xml:space="preserve"> </w:t>
      </w:r>
      <w:r w:rsidRPr="00D978DC">
        <w:rPr>
          <w:sz w:val="20"/>
          <w:szCs w:val="20"/>
        </w:rPr>
        <w:t>HPV</w:t>
      </w:r>
      <w:r w:rsidRPr="00D978DC">
        <w:rPr>
          <w:spacing w:val="-12"/>
          <w:sz w:val="20"/>
          <w:szCs w:val="20"/>
        </w:rPr>
        <w:t xml:space="preserve"> </w:t>
      </w:r>
      <w:r w:rsidRPr="00D978DC">
        <w:rPr>
          <w:sz w:val="20"/>
          <w:szCs w:val="20"/>
        </w:rPr>
        <w:t>vaccination in the school aged population could be applied to an international audience as</w:t>
      </w:r>
      <w:r w:rsidRPr="00D978DC">
        <w:rPr>
          <w:spacing w:val="-6"/>
          <w:sz w:val="20"/>
          <w:szCs w:val="20"/>
        </w:rPr>
        <w:t xml:space="preserve"> </w:t>
      </w:r>
      <w:r w:rsidRPr="00D978DC">
        <w:rPr>
          <w:sz w:val="20"/>
          <w:szCs w:val="20"/>
        </w:rPr>
        <w:t>well.</w:t>
      </w:r>
    </w:p>
    <w:p w:rsidR="004F08D8" w:rsidRPr="00D978DC" w:rsidRDefault="004F08D8" w:rsidP="00C33565">
      <w:pPr>
        <w:contextualSpacing/>
        <w:mirrorIndents/>
        <w:jc w:val="both"/>
        <w:rPr>
          <w:sz w:val="20"/>
          <w:szCs w:val="20"/>
        </w:rPr>
      </w:pPr>
    </w:p>
    <w:p w:rsidR="00C33565" w:rsidRPr="00D978DC" w:rsidRDefault="00C33565" w:rsidP="00C33565">
      <w:pPr>
        <w:contextualSpacing/>
        <w:mirrorIndents/>
        <w:jc w:val="center"/>
        <w:rPr>
          <w:b/>
          <w:sz w:val="22"/>
          <w:szCs w:val="22"/>
        </w:rPr>
      </w:pPr>
      <w:r w:rsidRPr="00D978DC">
        <w:rPr>
          <w:b/>
          <w:sz w:val="22"/>
          <w:szCs w:val="22"/>
        </w:rPr>
        <w:t>References</w:t>
      </w:r>
    </w:p>
    <w:p w:rsidR="00C33565" w:rsidRPr="00D978DC" w:rsidRDefault="00C33565" w:rsidP="00C33565">
      <w:pPr>
        <w:contextualSpacing/>
        <w:mirrorIndents/>
        <w:jc w:val="both"/>
        <w:rPr>
          <w:b/>
          <w:sz w:val="20"/>
          <w:szCs w:val="20"/>
        </w:rPr>
      </w:pPr>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8" w:history="1">
        <w:r w:rsidR="00C33565" w:rsidRPr="00D978DC">
          <w:rPr>
            <w:rStyle w:val="Hyperlink"/>
            <w:rFonts w:ascii="Times New Roman" w:hAnsi="Times New Roman" w:cs="Times New Roman"/>
            <w:sz w:val="20"/>
            <w:szCs w:val="20"/>
            <w:u w:val="none"/>
          </w:rPr>
          <w:t>Niccolai LM, Hansen CE (2015) Practice- and Community-Based Interventions to Increase Human Papillomavirus Vaccine Coverage: A Systematic Review. JAMA pediatrics 169: 686-692.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9" w:history="1">
        <w:r w:rsidR="00C33565" w:rsidRPr="00D978DC">
          <w:rPr>
            <w:rStyle w:val="Hyperlink"/>
            <w:rFonts w:ascii="Times New Roman" w:hAnsi="Times New Roman" w:cs="Times New Roman"/>
            <w:sz w:val="20"/>
            <w:szCs w:val="20"/>
            <w:u w:val="none"/>
          </w:rPr>
          <w:t>Kaul S, Do T, Hsu E, et al. (2019) School-based human papillomavirus vaccination program for increasing vaccine uptake in an underserved area in Texas. Papillomavirus research (Amsterdam, Netherlands) 8: 100189.</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0" w:history="1">
        <w:r w:rsidR="00C33565" w:rsidRPr="00D978DC">
          <w:rPr>
            <w:rStyle w:val="Hyperlink"/>
            <w:rFonts w:ascii="Times New Roman" w:hAnsi="Times New Roman" w:cs="Times New Roman"/>
            <w:sz w:val="20"/>
            <w:szCs w:val="20"/>
            <w:u w:val="none"/>
          </w:rPr>
          <w:t>Tan TQ, Gerbie MV (2017) Perception, Awareness, and Acceptance of Human Papillomavirus Disease and Vaccine Among Parents of Boys Aged 9 to 18 Years. Clinical Pediatrics 56: 737-743.</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1" w:history="1">
        <w:r w:rsidR="00C33565" w:rsidRPr="00D978DC">
          <w:rPr>
            <w:rStyle w:val="Hyperlink"/>
            <w:rFonts w:ascii="Times New Roman" w:hAnsi="Times New Roman" w:cs="Times New Roman"/>
            <w:sz w:val="20"/>
            <w:szCs w:val="20"/>
            <w:u w:val="none"/>
          </w:rPr>
          <w:t>Reiter PL, Brewer NT, Gilkey MB, et al. (2014) Early adoption of the human papillomavirus vaccine among Hispanic adolescent males in the United States. Cancer 120: 3200-3207.</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color w:val="202020"/>
          <w:sz w:val="20"/>
          <w:szCs w:val="20"/>
        </w:rPr>
      </w:pPr>
      <w:hyperlink r:id="rId12" w:history="1">
        <w:r w:rsidR="00C33565" w:rsidRPr="00D978DC">
          <w:rPr>
            <w:rStyle w:val="Hyperlink"/>
            <w:rFonts w:ascii="Times New Roman" w:hAnsi="Times New Roman" w:cs="Times New Roman"/>
            <w:sz w:val="20"/>
            <w:szCs w:val="20"/>
            <w:u w:val="none"/>
          </w:rPr>
          <w:t>Moss JL, Feld AL, O'Malley Bet al. (2014) Opportunities for increasing human papillomavirus vaccine provision in school health centers. J Sch Health 84: 370-378.</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3" w:history="1">
        <w:r w:rsidR="00C33565" w:rsidRPr="00D978DC">
          <w:rPr>
            <w:rStyle w:val="Hyperlink"/>
            <w:rFonts w:ascii="Times New Roman" w:hAnsi="Times New Roman" w:cs="Times New Roman"/>
            <w:sz w:val="20"/>
            <w:szCs w:val="20"/>
            <w:u w:val="none"/>
          </w:rPr>
          <w:t>Etter DJ, Zimet GD, Rickert VI (2012) Human papillomavirus vaccine in adolescent women: a 2012 update. Curr Opin Obstet Gynecol 24: 305-310.</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4" w:history="1">
        <w:r w:rsidR="00C33565" w:rsidRPr="00D978DC">
          <w:rPr>
            <w:rStyle w:val="Hyperlink"/>
            <w:rFonts w:ascii="Times New Roman" w:hAnsi="Times New Roman" w:cs="Times New Roman"/>
            <w:sz w:val="20"/>
            <w:szCs w:val="20"/>
            <w:u w:val="none"/>
          </w:rPr>
          <w:t>Hansen CE, Okoloko E, Ogunbajo A, et al. (2017) Acceptability of School-Based Health Centers for Human Papillomavirus Vaccination Visits: A Mixed-Methods Study. J Sch Health 87: 705-714.</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color w:val="202020"/>
          <w:sz w:val="20"/>
          <w:szCs w:val="20"/>
        </w:rPr>
      </w:pPr>
      <w:hyperlink r:id="rId15" w:history="1">
        <w:r w:rsidR="00C33565" w:rsidRPr="00D978DC">
          <w:rPr>
            <w:rStyle w:val="Hyperlink"/>
            <w:rFonts w:ascii="Times New Roman" w:hAnsi="Times New Roman" w:cs="Times New Roman"/>
            <w:sz w:val="20"/>
            <w:szCs w:val="20"/>
            <w:u w:val="none"/>
          </w:rPr>
          <w:t>Federico SG, Abrams L, Everhart RM, et al. (2010) Addressing adolescent immunization disparities: a retrospective analysis of school-based health center immunization delivery. Am J Public Health 100: 1630-1634.</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color w:val="202020"/>
          <w:sz w:val="20"/>
          <w:szCs w:val="20"/>
        </w:rPr>
      </w:pPr>
      <w:hyperlink r:id="rId16" w:history="1">
        <w:r w:rsidR="00C33565" w:rsidRPr="00D978DC">
          <w:rPr>
            <w:rStyle w:val="Hyperlink"/>
            <w:rFonts w:ascii="Times New Roman" w:hAnsi="Times New Roman" w:cs="Times New Roman"/>
            <w:sz w:val="20"/>
            <w:szCs w:val="20"/>
            <w:u w:val="none"/>
          </w:rPr>
          <w:t>Daley MF, Curtis CR, Pyrzanowski J, et al. (2009) Adolescent immunization delivery in school-based health centers: a national survey. The Journal of adolescent health: official publication of the Society for Adolescent Medicine 45: 445-452.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7" w:history="1">
        <w:r w:rsidR="00C33565" w:rsidRPr="00D978DC">
          <w:rPr>
            <w:rStyle w:val="Hyperlink"/>
            <w:rFonts w:ascii="Times New Roman" w:hAnsi="Times New Roman" w:cs="Times New Roman"/>
            <w:sz w:val="20"/>
            <w:szCs w:val="20"/>
            <w:u w:val="none"/>
          </w:rPr>
          <w:t>Munn MS, Kay M, Page LC, et al. (2019) Completion of the Human Papillomavirus Vaccination Series Among Adolescent Users and Nonusers of School- Based Health Centers. Public health reports (Washington, D.C.: 1974) 134: 559-566.</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8" w:history="1">
        <w:r w:rsidR="00C33565" w:rsidRPr="00D978DC">
          <w:rPr>
            <w:rStyle w:val="Hyperlink"/>
            <w:rFonts w:ascii="Times New Roman" w:hAnsi="Times New Roman" w:cs="Times New Roman"/>
            <w:sz w:val="20"/>
            <w:szCs w:val="20"/>
            <w:u w:val="none"/>
          </w:rPr>
          <w:t>Gold R, Naleway AL, Jenkins LL, et al. (2011) Completion and timing of the three-dose human papillomavirus vaccine series among adolescents attending school-based health centers in Oregon. Preventive medicine 52: 456-458.</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19" w:history="1">
        <w:r w:rsidR="00C33565" w:rsidRPr="00D978DC">
          <w:rPr>
            <w:rStyle w:val="Hyperlink"/>
            <w:rFonts w:ascii="Times New Roman" w:hAnsi="Times New Roman" w:cs="Times New Roman"/>
            <w:sz w:val="20"/>
            <w:szCs w:val="20"/>
            <w:u w:val="none"/>
          </w:rPr>
          <w:t>Kempe A, Allison MA, Daley MF (2018) Can School-Located Vaccination Have a Major Impact on Human Papillomavirus Vaccination Rates in the United States? Acad Pediatr 18: S101-S105.</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0" w:history="1">
        <w:r w:rsidR="00C33565" w:rsidRPr="00D978DC">
          <w:rPr>
            <w:rStyle w:val="Hyperlink"/>
            <w:rFonts w:ascii="Times New Roman" w:hAnsi="Times New Roman" w:cs="Times New Roman"/>
            <w:sz w:val="20"/>
            <w:szCs w:val="20"/>
            <w:u w:val="none"/>
          </w:rPr>
          <w:t>Abdullahi LH, Kagina BM, Ndze VN, et al. (2020) Improving vaccination uptake among adolescents. The Cochrane database of systematic reviews 1: CD011895.</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1" w:history="1">
        <w:r w:rsidR="00C33565" w:rsidRPr="00D978DC">
          <w:rPr>
            <w:rStyle w:val="Hyperlink"/>
            <w:rFonts w:ascii="Times New Roman" w:hAnsi="Times New Roman" w:cs="Times New Roman"/>
            <w:sz w:val="20"/>
            <w:szCs w:val="20"/>
            <w:u w:val="none"/>
          </w:rPr>
          <w:t>Oliver K, McCorkell C, Pister I, et al. (2019) Improving HPV vaccine delivery at school-based health centers. Human vaccines &amp; immunotherapeutics 15: 1870-1877.</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2" w:history="1">
        <w:r w:rsidR="00C33565" w:rsidRPr="00D978DC">
          <w:rPr>
            <w:rStyle w:val="Hyperlink"/>
            <w:rFonts w:ascii="Times New Roman" w:hAnsi="Times New Roman" w:cs="Times New Roman"/>
            <w:sz w:val="20"/>
            <w:szCs w:val="20"/>
            <w:u w:val="none"/>
          </w:rPr>
          <w:t>Golden SD, Moracco KE, Feld AL, et al. (2014) Process evaluation of an intervention to increase provision of adolescent vaccines at school health centers. Health education &amp; behavior: the official publication of the Society for Public Health Education 41: 625-632.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3" w:history="1">
        <w:r w:rsidR="00C33565" w:rsidRPr="00D978DC">
          <w:rPr>
            <w:rStyle w:val="Hyperlink"/>
            <w:rFonts w:ascii="Times New Roman" w:hAnsi="Times New Roman" w:cs="Times New Roman"/>
            <w:sz w:val="20"/>
            <w:szCs w:val="20"/>
            <w:u w:val="none"/>
          </w:rPr>
          <w:t>Rickert VI, Auslander BA, Cox DS, et al. (2015) School-based HPV immunization of young adolescents: effects of two brief health interventions. Human vaccines &amp; immunotherapeutics 11: 315-321.</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4" w:history="1">
        <w:r w:rsidR="00C33565" w:rsidRPr="00D978DC">
          <w:rPr>
            <w:rStyle w:val="Hyperlink"/>
            <w:rFonts w:ascii="Times New Roman" w:hAnsi="Times New Roman" w:cs="Times New Roman"/>
            <w:sz w:val="20"/>
            <w:szCs w:val="20"/>
            <w:u w:val="none"/>
          </w:rPr>
          <w:t>Edwards T, Hooper GL (2019) A School-Based Intervention to Increase HPV Vaccination Rates. Journal of doctoral nursing practice 12: 196-201.</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5" w:history="1">
        <w:r w:rsidR="00C33565" w:rsidRPr="00D978DC">
          <w:rPr>
            <w:rStyle w:val="Hyperlink"/>
            <w:rFonts w:ascii="Times New Roman" w:hAnsi="Times New Roman" w:cs="Times New Roman"/>
            <w:sz w:val="20"/>
            <w:szCs w:val="20"/>
            <w:u w:val="none"/>
          </w:rPr>
          <w:t>Shah MD, Glenn BA, Chang LC, et al. (2020) Reducing Missed Opportunities for Human Papillomavirus Vaccination in School-Based Health Centers: Impact of an Intervention. Acad Pediatr 20: 1124-1132.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6" w:history="1">
        <w:r w:rsidR="00C33565" w:rsidRPr="00D978DC">
          <w:rPr>
            <w:rStyle w:val="Hyperlink"/>
            <w:rFonts w:ascii="Times New Roman" w:hAnsi="Times New Roman" w:cs="Times New Roman"/>
            <w:sz w:val="20"/>
            <w:szCs w:val="20"/>
            <w:u w:val="none"/>
          </w:rPr>
          <w:t>Eldred SV, Hamid HS, Snider JC, et al. (2015) A Medical Student-Driven "Vaccine Blitz" at a School-Based Health Center as an Effective Way to Improve Adolescent Vaccination Rates. Family medicine 47: 546- 548.</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7" w:history="1">
        <w:r w:rsidR="00C33565" w:rsidRPr="00D978DC">
          <w:rPr>
            <w:rStyle w:val="Hyperlink"/>
            <w:rFonts w:ascii="Times New Roman" w:hAnsi="Times New Roman" w:cs="Times New Roman"/>
            <w:sz w:val="20"/>
            <w:szCs w:val="20"/>
            <w:u w:val="none"/>
          </w:rPr>
          <w:t>Holman DM, Benard V, Roland KB, et al. (2014) Barriers to human papillomavirus vaccination among US adolescents: a systematic review of the literature. JAMA pediatrics, 168: 76-82.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8" w:anchor=":~:text=The%20vaccine%20is%20administered%20by,young%20as%20age%209%20years." w:history="1">
        <w:r w:rsidR="00C33565" w:rsidRPr="00D978DC">
          <w:rPr>
            <w:rStyle w:val="Hyperlink"/>
            <w:rFonts w:ascii="Times New Roman" w:hAnsi="Times New Roman" w:cs="Times New Roman"/>
            <w:sz w:val="20"/>
            <w:szCs w:val="20"/>
            <w:u w:val="none"/>
          </w:rPr>
          <w:t>Markowitz LE, Dunne EF, Saraiya M, et al. (2007) Quadrivalent Human Papillomavirus Vaccine: Recommendations of the Advisory Committee on Immunization Practices (ACIP).</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29" w:history="1">
        <w:r w:rsidR="00C33565" w:rsidRPr="00D978DC">
          <w:rPr>
            <w:rStyle w:val="Hyperlink"/>
            <w:rFonts w:ascii="Times New Roman" w:hAnsi="Times New Roman" w:cs="Times New Roman"/>
            <w:sz w:val="20"/>
            <w:szCs w:val="20"/>
            <w:u w:val="none"/>
          </w:rPr>
          <w:t>Increase the proportion of adolescents who get recommended doses of the HPV vaccine - IID‑08</w:t>
        </w:r>
        <w:r w:rsidR="00C33565" w:rsidRPr="00D978DC">
          <w:rPr>
            <w:rStyle w:val="Hyperlink"/>
            <w:rFonts w:ascii="Times New Roman" w:hAnsi="Times New Roman" w:cs="Times New Roman"/>
            <w:spacing w:val="-14"/>
            <w:sz w:val="20"/>
            <w:szCs w:val="20"/>
            <w:u w:val="none"/>
          </w:rPr>
          <w:t xml:space="preserve"> </w:t>
        </w:r>
        <w:r w:rsidR="00C33565" w:rsidRPr="00D978DC">
          <w:rPr>
            <w:rStyle w:val="Hyperlink"/>
            <w:rFonts w:ascii="Times New Roman" w:hAnsi="Times New Roman" w:cs="Times New Roman"/>
            <w:sz w:val="20"/>
            <w:szCs w:val="20"/>
            <w:u w:val="none"/>
          </w:rPr>
          <w:t>-</w:t>
        </w:r>
        <w:r w:rsidR="00C33565" w:rsidRPr="00D978DC">
          <w:rPr>
            <w:rStyle w:val="Hyperlink"/>
            <w:rFonts w:ascii="Times New Roman" w:hAnsi="Times New Roman" w:cs="Times New Roman"/>
            <w:spacing w:val="-11"/>
            <w:sz w:val="20"/>
            <w:szCs w:val="20"/>
            <w:u w:val="none"/>
          </w:rPr>
          <w:t xml:space="preserve"> </w:t>
        </w:r>
        <w:r w:rsidR="00C33565" w:rsidRPr="00D978DC">
          <w:rPr>
            <w:rStyle w:val="Hyperlink"/>
            <w:rFonts w:ascii="Times New Roman" w:hAnsi="Times New Roman" w:cs="Times New Roman"/>
            <w:sz w:val="20"/>
            <w:szCs w:val="20"/>
            <w:u w:val="none"/>
          </w:rPr>
          <w:t>Healthy</w:t>
        </w:r>
        <w:r w:rsidR="00C33565" w:rsidRPr="00D978DC">
          <w:rPr>
            <w:rStyle w:val="Hyperlink"/>
            <w:rFonts w:ascii="Times New Roman" w:hAnsi="Times New Roman" w:cs="Times New Roman"/>
            <w:spacing w:val="-12"/>
            <w:sz w:val="20"/>
            <w:szCs w:val="20"/>
            <w:u w:val="none"/>
          </w:rPr>
          <w:t xml:space="preserve"> </w:t>
        </w:r>
        <w:r w:rsidR="00C33565" w:rsidRPr="00D978DC">
          <w:rPr>
            <w:rStyle w:val="Hyperlink"/>
            <w:rFonts w:ascii="Times New Roman" w:hAnsi="Times New Roman" w:cs="Times New Roman"/>
            <w:sz w:val="20"/>
            <w:szCs w:val="20"/>
            <w:u w:val="none"/>
          </w:rPr>
          <w:t>People</w:t>
        </w:r>
        <w:r w:rsidR="00C33565" w:rsidRPr="00D978DC">
          <w:rPr>
            <w:rStyle w:val="Hyperlink"/>
            <w:rFonts w:ascii="Times New Roman" w:hAnsi="Times New Roman" w:cs="Times New Roman"/>
            <w:spacing w:val="-12"/>
            <w:sz w:val="20"/>
            <w:szCs w:val="20"/>
            <w:u w:val="none"/>
          </w:rPr>
          <w:t xml:space="preserve"> </w:t>
        </w:r>
        <w:r w:rsidR="00C33565" w:rsidRPr="00D978DC">
          <w:rPr>
            <w:rStyle w:val="Hyperlink"/>
            <w:rFonts w:ascii="Times New Roman" w:hAnsi="Times New Roman" w:cs="Times New Roman"/>
            <w:sz w:val="20"/>
            <w:szCs w:val="20"/>
            <w:u w:val="none"/>
          </w:rPr>
          <w:t>2030</w:t>
        </w:r>
        <w:r w:rsidR="00C33565" w:rsidRPr="00D978DC">
          <w:rPr>
            <w:rStyle w:val="Hyperlink"/>
            <w:rFonts w:ascii="Times New Roman" w:hAnsi="Times New Roman" w:cs="Times New Roman"/>
            <w:spacing w:val="-12"/>
            <w:sz w:val="20"/>
            <w:szCs w:val="20"/>
            <w:u w:val="none"/>
          </w:rPr>
          <w:t xml:space="preserve"> </w:t>
        </w:r>
        <w:r w:rsidR="00C33565" w:rsidRPr="00D978DC">
          <w:rPr>
            <w:rStyle w:val="Hyperlink"/>
            <w:rFonts w:ascii="Times New Roman" w:hAnsi="Times New Roman" w:cs="Times New Roman"/>
            <w:sz w:val="20"/>
            <w:szCs w:val="20"/>
            <w:u w:val="none"/>
          </w:rPr>
          <w:t>|</w:t>
        </w:r>
        <w:r w:rsidR="00C33565" w:rsidRPr="00D978DC">
          <w:rPr>
            <w:rStyle w:val="Hyperlink"/>
            <w:rFonts w:ascii="Times New Roman" w:hAnsi="Times New Roman" w:cs="Times New Roman"/>
            <w:spacing w:val="-15"/>
            <w:sz w:val="20"/>
            <w:szCs w:val="20"/>
            <w:u w:val="none"/>
          </w:rPr>
          <w:t xml:space="preserve"> </w:t>
        </w:r>
        <w:r w:rsidR="00C33565" w:rsidRPr="00D978DC">
          <w:rPr>
            <w:rStyle w:val="Hyperlink"/>
            <w:rFonts w:ascii="Times New Roman" w:hAnsi="Times New Roman" w:cs="Times New Roman"/>
            <w:sz w:val="20"/>
            <w:szCs w:val="20"/>
            <w:u w:val="none"/>
          </w:rPr>
          <w:t>health.gov</w:t>
        </w:r>
        <w:r w:rsidR="00C33565" w:rsidRPr="00D978DC">
          <w:rPr>
            <w:rStyle w:val="Hyperlink"/>
            <w:rFonts w:ascii="Times New Roman" w:hAnsi="Times New Roman" w:cs="Times New Roman"/>
            <w:spacing w:val="-12"/>
            <w:sz w:val="20"/>
            <w:szCs w:val="20"/>
            <w:u w:val="none"/>
          </w:rPr>
          <w:t xml:space="preserve"> </w:t>
        </w:r>
        <w:r w:rsidR="00C33565" w:rsidRPr="00D978DC">
          <w:rPr>
            <w:rStyle w:val="Hyperlink"/>
            <w:rFonts w:ascii="Times New Roman" w:hAnsi="Times New Roman" w:cs="Times New Roman"/>
            <w:sz w:val="20"/>
            <w:szCs w:val="20"/>
            <w:u w:val="none"/>
          </w:rPr>
          <w:t>(n.d.)</w:t>
        </w:r>
        <w:r w:rsidR="00C33565" w:rsidRPr="00D978DC">
          <w:rPr>
            <w:rStyle w:val="Hyperlink"/>
            <w:rFonts w:ascii="Times New Roman" w:hAnsi="Times New Roman" w:cs="Times New Roman"/>
            <w:spacing w:val="-11"/>
            <w:sz w:val="20"/>
            <w:szCs w:val="20"/>
            <w:u w:val="none"/>
          </w:rPr>
          <w:t xml:space="preserve"> </w:t>
        </w:r>
        <w:r w:rsidR="00C33565" w:rsidRPr="00D978DC">
          <w:rPr>
            <w:rStyle w:val="Hyperlink"/>
            <w:rFonts w:ascii="Times New Roman" w:hAnsi="Times New Roman" w:cs="Times New Roman"/>
            <w:sz w:val="20"/>
            <w:szCs w:val="20"/>
            <w:u w:val="none"/>
          </w:rPr>
          <w:t>Origin.health.gov.</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30" w:history="1">
        <w:r w:rsidR="00C33565" w:rsidRPr="00D978DC">
          <w:rPr>
            <w:rStyle w:val="Hyperlink"/>
            <w:rFonts w:ascii="Times New Roman" w:hAnsi="Times New Roman" w:cs="Times New Roman"/>
            <w:sz w:val="20"/>
            <w:szCs w:val="20"/>
            <w:u w:val="none"/>
          </w:rPr>
          <w:t>Elam-Evans LD, Yankey D, Jeyarajah J, et al. (2014) National, regional, state, and selected local area vaccination coverage among adolescents aged 13- 17 years--United States, 2013. MMWR. Morbidity and mortality weekly report 63: 625-633.</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31" w:history="1">
        <w:r w:rsidR="00C33565" w:rsidRPr="00D978DC">
          <w:rPr>
            <w:rStyle w:val="Hyperlink"/>
            <w:rFonts w:ascii="Times New Roman" w:hAnsi="Times New Roman" w:cs="Times New Roman"/>
            <w:sz w:val="20"/>
            <w:szCs w:val="20"/>
            <w:u w:val="none"/>
          </w:rPr>
          <w:t>Stokley S, Jeyarajah J, Yankey D, et al. (2014) Human papillomavirus vaccination coverage among adolescents, 2007-2013, and postlicensure vaccine safety monitoring, 2006-2014--United States. MMWR. Morbidity and mortality weekly report 63: 620-624.</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32" w:history="1">
        <w:r w:rsidR="00C33565" w:rsidRPr="00D978DC">
          <w:rPr>
            <w:rStyle w:val="Hyperlink"/>
            <w:rFonts w:ascii="Times New Roman" w:hAnsi="Times New Roman" w:cs="Times New Roman"/>
            <w:sz w:val="20"/>
            <w:szCs w:val="20"/>
            <w:u w:val="none"/>
          </w:rPr>
          <w:t>Gargano LM, Thacker N, Choudhury P, et al. (2012) Attitudes of pediatricians and primary health center physicians in India concerning routine immunization, barriers to vaccination, and missed opportunities to vaccinate. The Pediatric infectious disease journal 31: e37-e42.</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33" w:history="1">
        <w:r w:rsidR="00C33565" w:rsidRPr="00D978DC">
          <w:rPr>
            <w:rStyle w:val="Hyperlink"/>
            <w:rFonts w:ascii="Times New Roman" w:hAnsi="Times New Roman" w:cs="Times New Roman"/>
            <w:sz w:val="20"/>
            <w:szCs w:val="20"/>
            <w:u w:val="none"/>
          </w:rPr>
          <w:t>Kessels SJ, Marshall HS, Watson M, et al. (2012) Factors associated with HPV vaccine uptake in teenage girls: a systematic review. Vaccine 30: 3546-3556.</w:t>
        </w:r>
      </w:hyperlink>
    </w:p>
    <w:p w:rsidR="00C33565" w:rsidRPr="00D978DC" w:rsidRDefault="00B3606F" w:rsidP="00C33565">
      <w:pPr>
        <w:pStyle w:val="ListParagraph"/>
        <w:widowControl w:val="0"/>
        <w:numPr>
          <w:ilvl w:val="0"/>
          <w:numId w:val="39"/>
        </w:numPr>
        <w:autoSpaceDE w:val="0"/>
        <w:autoSpaceDN w:val="0"/>
        <w:spacing w:after="0" w:line="240" w:lineRule="auto"/>
        <w:mirrorIndents/>
        <w:jc w:val="both"/>
        <w:rPr>
          <w:rFonts w:ascii="Times New Roman" w:hAnsi="Times New Roman" w:cs="Times New Roman"/>
          <w:sz w:val="20"/>
          <w:szCs w:val="20"/>
        </w:rPr>
      </w:pPr>
      <w:hyperlink r:id="rId34" w:anchor=":~:text=National%20Vaccination%20Coverage&amp;text=Coverage%20with%20%E2%89%A52%20MenACWY,stable%20and%20high%20(90.2%25)." w:history="1">
        <w:r w:rsidR="00C33565" w:rsidRPr="00D978DC">
          <w:rPr>
            <w:rStyle w:val="Hyperlink"/>
            <w:rFonts w:ascii="Times New Roman" w:hAnsi="Times New Roman" w:cs="Times New Roman"/>
            <w:sz w:val="20"/>
            <w:szCs w:val="20"/>
            <w:u w:val="none"/>
          </w:rPr>
          <w:t>Walker TY, Elam-Evans LD, Yankey D, et al. (2019) National, Regional, State, and Selected Local Area Vaccination Coverage Among Adolescents Aged 13-17 Years - United States, 2018.</w:t>
        </w:r>
      </w:hyperlink>
    </w:p>
    <w:p w:rsidR="00317C45" w:rsidRPr="000969E1" w:rsidRDefault="00B3606F" w:rsidP="000838FF">
      <w:pPr>
        <w:pStyle w:val="ListParagraph"/>
        <w:widowControl w:val="0"/>
        <w:numPr>
          <w:ilvl w:val="0"/>
          <w:numId w:val="39"/>
        </w:numPr>
        <w:tabs>
          <w:tab w:val="left" w:pos="3270"/>
        </w:tabs>
        <w:autoSpaceDE w:val="0"/>
        <w:autoSpaceDN w:val="0"/>
        <w:spacing w:after="0" w:line="240" w:lineRule="auto"/>
        <w:mirrorIndents/>
        <w:jc w:val="both"/>
        <w:rPr>
          <w:rFonts w:ascii="Times New Roman" w:hAnsi="Times New Roman" w:cs="Times New Roman"/>
          <w:sz w:val="20"/>
          <w:szCs w:val="20"/>
        </w:rPr>
      </w:pPr>
      <w:hyperlink r:id="rId35" w:history="1">
        <w:r w:rsidR="00C33565" w:rsidRPr="0048134C">
          <w:rPr>
            <w:rStyle w:val="Hyperlink"/>
            <w:rFonts w:ascii="Times New Roman" w:hAnsi="Times New Roman" w:cs="Times New Roman"/>
            <w:sz w:val="20"/>
            <w:szCs w:val="20"/>
            <w:u w:val="none"/>
          </w:rPr>
          <w:t>Blake DR, Middleman AB (2017) Human Papillomavirus Vaccine Update. Pediatric clinics of North America 64: 321-329.</w:t>
        </w:r>
      </w:hyperlink>
    </w:p>
    <w:sectPr w:rsidR="00317C45" w:rsidRPr="000969E1" w:rsidSect="00FF2F8A">
      <w:headerReference w:type="even" r:id="rId36"/>
      <w:headerReference w:type="default" r:id="rId37"/>
      <w:footerReference w:type="even" r:id="rId38"/>
      <w:footerReference w:type="default" r:id="rId39"/>
      <w:headerReference w:type="first" r:id="rId40"/>
      <w:footerReference w:type="first" r:id="rId4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6F" w:rsidRDefault="00B3606F" w:rsidP="00E5175D">
      <w:r>
        <w:separator/>
      </w:r>
    </w:p>
  </w:endnote>
  <w:endnote w:type="continuationSeparator" w:id="0">
    <w:p w:rsidR="00B3606F" w:rsidRDefault="00B3606F"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B1" w:rsidRDefault="00291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B1" w:rsidRDefault="00291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B1" w:rsidRDefault="00291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6F" w:rsidRDefault="00B3606F" w:rsidP="00E5175D">
      <w:r>
        <w:separator/>
      </w:r>
    </w:p>
  </w:footnote>
  <w:footnote w:type="continuationSeparator" w:id="0">
    <w:p w:rsidR="00B3606F" w:rsidRDefault="00B3606F"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B1" w:rsidRDefault="00291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2C" w:rsidRPr="00533EE2" w:rsidRDefault="0020002C" w:rsidP="0020002C">
    <w:pPr>
      <w:tabs>
        <w:tab w:val="left" w:pos="7426"/>
      </w:tabs>
      <w:contextualSpacing/>
      <w:mirrorIndents/>
      <w:jc w:val="both"/>
      <w:rPr>
        <w:sz w:val="20"/>
        <w:szCs w:val="20"/>
      </w:rPr>
    </w:pPr>
    <w:r w:rsidRPr="00533EE2">
      <w:rPr>
        <w:noProof/>
        <w:sz w:val="20"/>
        <w:szCs w:val="20"/>
      </w:rPr>
      <w:drawing>
        <wp:anchor distT="0" distB="0" distL="114300" distR="114300" simplePos="0" relativeHeight="251659264" behindDoc="0" locked="0" layoutInCell="1" allowOverlap="1" wp14:anchorId="0A53C5D6" wp14:editId="4AD94D27">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20002C" w:rsidRPr="008A6DCF" w:rsidRDefault="0020002C" w:rsidP="0020002C">
    <w:pPr>
      <w:tabs>
        <w:tab w:val="left" w:pos="7426"/>
      </w:tabs>
      <w:contextualSpacing/>
      <w:mirrorIndents/>
      <w:jc w:val="both"/>
      <w:rPr>
        <w:sz w:val="22"/>
        <w:szCs w:val="22"/>
      </w:rPr>
    </w:pPr>
    <w:r w:rsidRPr="008A6DCF">
      <w:rPr>
        <w:sz w:val="22"/>
        <w:szCs w:val="22"/>
      </w:rPr>
      <w:t>Columbus Publishers</w:t>
    </w:r>
  </w:p>
  <w:p w:rsidR="0020002C" w:rsidRPr="008A6DCF" w:rsidRDefault="0020002C" w:rsidP="0020002C">
    <w:pPr>
      <w:tabs>
        <w:tab w:val="left" w:pos="7426"/>
      </w:tabs>
      <w:contextualSpacing/>
      <w:mirrorIndents/>
      <w:jc w:val="both"/>
      <w:rPr>
        <w:sz w:val="22"/>
        <w:szCs w:val="22"/>
      </w:rPr>
    </w:pPr>
    <w:r w:rsidRPr="008A6DCF">
      <w:rPr>
        <w:sz w:val="22"/>
        <w:szCs w:val="22"/>
      </w:rPr>
      <w:t>International Journal of Nursing and Health Care Science</w:t>
    </w:r>
  </w:p>
  <w:p w:rsidR="0020002C" w:rsidRPr="008A6DCF" w:rsidRDefault="004C5019" w:rsidP="0020002C">
    <w:pPr>
      <w:contextualSpacing/>
      <w:mirrorIndents/>
      <w:jc w:val="both"/>
      <w:rPr>
        <w:sz w:val="22"/>
        <w:szCs w:val="22"/>
      </w:rPr>
    </w:pPr>
    <w:r w:rsidRPr="008A6DCF">
      <w:rPr>
        <w:sz w:val="22"/>
        <w:szCs w:val="22"/>
      </w:rPr>
      <w:t>Volume 01: Issue 09</w:t>
    </w:r>
  </w:p>
  <w:p w:rsidR="00D639D5" w:rsidRDefault="00291AB1" w:rsidP="0020002C">
    <w:pPr>
      <w:pStyle w:val="Header"/>
      <w:contextualSpacing/>
      <w:mirrorIndents/>
      <w:jc w:val="both"/>
      <w:rPr>
        <w:rFonts w:ascii="Times New Roman" w:eastAsia="Times New Roman" w:hAnsi="Times New Roman" w:cs="Times New Roman"/>
        <w:sz w:val="20"/>
        <w:szCs w:val="20"/>
      </w:rPr>
    </w:pPr>
    <w:r w:rsidRPr="00291AB1">
      <w:rPr>
        <w:rFonts w:ascii="Times New Roman" w:eastAsia="Times New Roman" w:hAnsi="Times New Roman" w:cs="Times New Roman"/>
      </w:rPr>
      <w:t>Schaumleffel C and Aidoo G</w:t>
    </w:r>
    <w:bookmarkStart w:id="8" w:name="_GoBack"/>
    <w:bookmarkEnd w:id="8"/>
    <w:r w:rsidR="00214E3F" w:rsidRPr="008A6DCF">
      <w:rPr>
        <w:rFonts w:ascii="Times New Roman" w:eastAsia="Times New Roman" w:hAnsi="Times New Roman" w:cs="Times New Roman"/>
      </w:rPr>
      <w:t>.</w:t>
    </w:r>
    <w:r w:rsidR="00214E3F">
      <w:rPr>
        <w:rFonts w:ascii="Times New Roman" w:eastAsia="Times New Roman" w:hAnsi="Times New Roman" w:cs="Times New Roman"/>
        <w:sz w:val="20"/>
        <w:szCs w:val="20"/>
      </w:rPr>
      <w:t xml:space="preserve"> </w:t>
    </w:r>
  </w:p>
  <w:p w:rsidR="00214E3F" w:rsidRPr="00533EE2" w:rsidRDefault="00214E3F" w:rsidP="0020002C">
    <w:pPr>
      <w:pStyle w:val="Header"/>
      <w:contextualSpacing/>
      <w:mirrorIndents/>
      <w:jc w:val="both"/>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B1" w:rsidRDefault="00291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1"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3"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34ECC"/>
    <w:multiLevelType w:val="hybridMultilevel"/>
    <w:tmpl w:val="68C8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B5A"/>
    <w:multiLevelType w:val="hybridMultilevel"/>
    <w:tmpl w:val="AF3C000C"/>
    <w:lvl w:ilvl="0" w:tplc="3D00B69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1282"/>
    <w:multiLevelType w:val="hybridMultilevel"/>
    <w:tmpl w:val="68C85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5B84388"/>
    <w:multiLevelType w:val="hybridMultilevel"/>
    <w:tmpl w:val="1C9E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1281475"/>
    <w:multiLevelType w:val="hybridMultilevel"/>
    <w:tmpl w:val="AAEA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9"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30"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32"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C36B3"/>
    <w:multiLevelType w:val="hybridMultilevel"/>
    <w:tmpl w:val="13609BC2"/>
    <w:lvl w:ilvl="0" w:tplc="E5383C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5"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7"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num w:numId="1">
    <w:abstractNumId w:val="2"/>
  </w:num>
  <w:num w:numId="2">
    <w:abstractNumId w:val="6"/>
  </w:num>
  <w:num w:numId="3">
    <w:abstractNumId w:val="35"/>
  </w:num>
  <w:num w:numId="4">
    <w:abstractNumId w:val="23"/>
  </w:num>
  <w:num w:numId="5">
    <w:abstractNumId w:val="16"/>
  </w:num>
  <w:num w:numId="6">
    <w:abstractNumId w:val="30"/>
  </w:num>
  <w:num w:numId="7">
    <w:abstractNumId w:val="9"/>
  </w:num>
  <w:num w:numId="8">
    <w:abstractNumId w:val="3"/>
  </w:num>
  <w:num w:numId="9">
    <w:abstractNumId w:val="11"/>
  </w:num>
  <w:num w:numId="10">
    <w:abstractNumId w:val="21"/>
  </w:num>
  <w:num w:numId="11">
    <w:abstractNumId w:val="5"/>
  </w:num>
  <w:num w:numId="12">
    <w:abstractNumId w:val="24"/>
  </w:num>
  <w:num w:numId="13">
    <w:abstractNumId w:val="26"/>
  </w:num>
  <w:num w:numId="14">
    <w:abstractNumId w:val="38"/>
  </w:num>
  <w:num w:numId="15">
    <w:abstractNumId w:val="29"/>
  </w:num>
  <w:num w:numId="16">
    <w:abstractNumId w:val="1"/>
  </w:num>
  <w:num w:numId="17">
    <w:abstractNumId w:val="10"/>
  </w:num>
  <w:num w:numId="18">
    <w:abstractNumId w:val="31"/>
  </w:num>
  <w:num w:numId="19">
    <w:abstractNumId w:val="36"/>
  </w:num>
  <w:num w:numId="20">
    <w:abstractNumId w:val="28"/>
  </w:num>
  <w:num w:numId="21">
    <w:abstractNumId w:val="34"/>
  </w:num>
  <w:num w:numId="22">
    <w:abstractNumId w:val="12"/>
  </w:num>
  <w:num w:numId="23">
    <w:abstractNumId w:val="13"/>
  </w:num>
  <w:num w:numId="24">
    <w:abstractNumId w:val="14"/>
  </w:num>
  <w:num w:numId="25">
    <w:abstractNumId w:val="0"/>
  </w:num>
  <w:num w:numId="26">
    <w:abstractNumId w:val="37"/>
  </w:num>
  <w:num w:numId="27">
    <w:abstractNumId w:val="15"/>
  </w:num>
  <w:num w:numId="28">
    <w:abstractNumId w:val="17"/>
  </w:num>
  <w:num w:numId="29">
    <w:abstractNumId w:val="4"/>
  </w:num>
  <w:num w:numId="30">
    <w:abstractNumId w:val="22"/>
  </w:num>
  <w:num w:numId="31">
    <w:abstractNumId w:val="32"/>
  </w:num>
  <w:num w:numId="32">
    <w:abstractNumId w:val="8"/>
  </w:num>
  <w:num w:numId="33">
    <w:abstractNumId w:val="7"/>
  </w:num>
  <w:num w:numId="34">
    <w:abstractNumId w:val="27"/>
  </w:num>
  <w:num w:numId="35">
    <w:abstractNumId w:val="33"/>
  </w:num>
  <w:num w:numId="36">
    <w:abstractNumId w:val="25"/>
  </w:num>
  <w:num w:numId="37">
    <w:abstractNumId w:val="20"/>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06CF1"/>
    <w:rsid w:val="00011D3A"/>
    <w:rsid w:val="00015957"/>
    <w:rsid w:val="000221C0"/>
    <w:rsid w:val="00024803"/>
    <w:rsid w:val="00025AC0"/>
    <w:rsid w:val="00040407"/>
    <w:rsid w:val="0004063E"/>
    <w:rsid w:val="00041244"/>
    <w:rsid w:val="000455CA"/>
    <w:rsid w:val="000456D2"/>
    <w:rsid w:val="00045A0C"/>
    <w:rsid w:val="00045D5C"/>
    <w:rsid w:val="0004678F"/>
    <w:rsid w:val="00055E43"/>
    <w:rsid w:val="00057EA2"/>
    <w:rsid w:val="000620CE"/>
    <w:rsid w:val="000651D9"/>
    <w:rsid w:val="00071F33"/>
    <w:rsid w:val="000724F8"/>
    <w:rsid w:val="000741BE"/>
    <w:rsid w:val="00077852"/>
    <w:rsid w:val="000803B8"/>
    <w:rsid w:val="00083F7E"/>
    <w:rsid w:val="000938B6"/>
    <w:rsid w:val="00093E90"/>
    <w:rsid w:val="00094ED8"/>
    <w:rsid w:val="0009607C"/>
    <w:rsid w:val="000969E1"/>
    <w:rsid w:val="000A1177"/>
    <w:rsid w:val="000A4730"/>
    <w:rsid w:val="000A6A76"/>
    <w:rsid w:val="000A78AA"/>
    <w:rsid w:val="000B0646"/>
    <w:rsid w:val="000B2F20"/>
    <w:rsid w:val="000B47CA"/>
    <w:rsid w:val="000B5481"/>
    <w:rsid w:val="000B5B6C"/>
    <w:rsid w:val="000B7B6C"/>
    <w:rsid w:val="000C05DC"/>
    <w:rsid w:val="000C09B7"/>
    <w:rsid w:val="000C2848"/>
    <w:rsid w:val="000C3F91"/>
    <w:rsid w:val="000C3FC6"/>
    <w:rsid w:val="000C50B5"/>
    <w:rsid w:val="000D160A"/>
    <w:rsid w:val="000D4205"/>
    <w:rsid w:val="000D6D4C"/>
    <w:rsid w:val="000F0061"/>
    <w:rsid w:val="000F19C6"/>
    <w:rsid w:val="000F6909"/>
    <w:rsid w:val="00100710"/>
    <w:rsid w:val="00103DED"/>
    <w:rsid w:val="00104136"/>
    <w:rsid w:val="00110108"/>
    <w:rsid w:val="001115A5"/>
    <w:rsid w:val="00122B48"/>
    <w:rsid w:val="00123F84"/>
    <w:rsid w:val="001248EE"/>
    <w:rsid w:val="00130A6A"/>
    <w:rsid w:val="00130D78"/>
    <w:rsid w:val="00132E5B"/>
    <w:rsid w:val="00133616"/>
    <w:rsid w:val="001340F2"/>
    <w:rsid w:val="001356CC"/>
    <w:rsid w:val="001418E6"/>
    <w:rsid w:val="00155280"/>
    <w:rsid w:val="00155B9B"/>
    <w:rsid w:val="00155D57"/>
    <w:rsid w:val="00157102"/>
    <w:rsid w:val="00161628"/>
    <w:rsid w:val="00161AF0"/>
    <w:rsid w:val="001677CD"/>
    <w:rsid w:val="00173926"/>
    <w:rsid w:val="00174732"/>
    <w:rsid w:val="0018092A"/>
    <w:rsid w:val="00184EB9"/>
    <w:rsid w:val="001862C9"/>
    <w:rsid w:val="00193EEF"/>
    <w:rsid w:val="0019405C"/>
    <w:rsid w:val="00195013"/>
    <w:rsid w:val="00197864"/>
    <w:rsid w:val="001B0172"/>
    <w:rsid w:val="001B2531"/>
    <w:rsid w:val="001B3505"/>
    <w:rsid w:val="001B5C0D"/>
    <w:rsid w:val="001C1491"/>
    <w:rsid w:val="001C2738"/>
    <w:rsid w:val="001C5DDD"/>
    <w:rsid w:val="001D24A1"/>
    <w:rsid w:val="001D2B27"/>
    <w:rsid w:val="001D3F00"/>
    <w:rsid w:val="001D6822"/>
    <w:rsid w:val="001D6C20"/>
    <w:rsid w:val="001E29E0"/>
    <w:rsid w:val="001E3F61"/>
    <w:rsid w:val="001E5881"/>
    <w:rsid w:val="001E6B57"/>
    <w:rsid w:val="001F0D37"/>
    <w:rsid w:val="001F2A41"/>
    <w:rsid w:val="001F3D3F"/>
    <w:rsid w:val="001F7520"/>
    <w:rsid w:val="0020002C"/>
    <w:rsid w:val="00200C79"/>
    <w:rsid w:val="00202858"/>
    <w:rsid w:val="00210D03"/>
    <w:rsid w:val="00211CBE"/>
    <w:rsid w:val="00214E3F"/>
    <w:rsid w:val="00217571"/>
    <w:rsid w:val="00220AD8"/>
    <w:rsid w:val="0022114E"/>
    <w:rsid w:val="00226C67"/>
    <w:rsid w:val="002279D7"/>
    <w:rsid w:val="00230953"/>
    <w:rsid w:val="0023475B"/>
    <w:rsid w:val="002364EA"/>
    <w:rsid w:val="002374D5"/>
    <w:rsid w:val="00237C63"/>
    <w:rsid w:val="00252F09"/>
    <w:rsid w:val="002538DD"/>
    <w:rsid w:val="00256825"/>
    <w:rsid w:val="00257E49"/>
    <w:rsid w:val="00261F56"/>
    <w:rsid w:val="00263FF9"/>
    <w:rsid w:val="00265693"/>
    <w:rsid w:val="002710A0"/>
    <w:rsid w:val="00277B62"/>
    <w:rsid w:val="002812F8"/>
    <w:rsid w:val="00285364"/>
    <w:rsid w:val="00285A59"/>
    <w:rsid w:val="00286BAE"/>
    <w:rsid w:val="0028728C"/>
    <w:rsid w:val="00291AB1"/>
    <w:rsid w:val="002A0236"/>
    <w:rsid w:val="002A6940"/>
    <w:rsid w:val="002B19FE"/>
    <w:rsid w:val="002B29D3"/>
    <w:rsid w:val="002B4987"/>
    <w:rsid w:val="002C4945"/>
    <w:rsid w:val="002C4D45"/>
    <w:rsid w:val="002C57B8"/>
    <w:rsid w:val="002C643D"/>
    <w:rsid w:val="002C7168"/>
    <w:rsid w:val="002D01A8"/>
    <w:rsid w:val="002D106B"/>
    <w:rsid w:val="002D4935"/>
    <w:rsid w:val="002E10A8"/>
    <w:rsid w:val="002E6BBB"/>
    <w:rsid w:val="002E6F52"/>
    <w:rsid w:val="002F0442"/>
    <w:rsid w:val="002F0D3C"/>
    <w:rsid w:val="002F3685"/>
    <w:rsid w:val="002F4F54"/>
    <w:rsid w:val="00305CCD"/>
    <w:rsid w:val="003107A4"/>
    <w:rsid w:val="00310E7D"/>
    <w:rsid w:val="00313AC6"/>
    <w:rsid w:val="00314225"/>
    <w:rsid w:val="003171B7"/>
    <w:rsid w:val="0031791A"/>
    <w:rsid w:val="00317C45"/>
    <w:rsid w:val="0032223A"/>
    <w:rsid w:val="003234F1"/>
    <w:rsid w:val="0032481C"/>
    <w:rsid w:val="003315D0"/>
    <w:rsid w:val="00331923"/>
    <w:rsid w:val="00341A40"/>
    <w:rsid w:val="0034316F"/>
    <w:rsid w:val="00346DDB"/>
    <w:rsid w:val="00352EC8"/>
    <w:rsid w:val="003545B9"/>
    <w:rsid w:val="00357459"/>
    <w:rsid w:val="00360EF1"/>
    <w:rsid w:val="00361DBF"/>
    <w:rsid w:val="00362B24"/>
    <w:rsid w:val="003635F0"/>
    <w:rsid w:val="00364B80"/>
    <w:rsid w:val="003658CF"/>
    <w:rsid w:val="003668CE"/>
    <w:rsid w:val="003736B5"/>
    <w:rsid w:val="00376DCA"/>
    <w:rsid w:val="003822D8"/>
    <w:rsid w:val="003822DA"/>
    <w:rsid w:val="00386253"/>
    <w:rsid w:val="0038687C"/>
    <w:rsid w:val="00386FED"/>
    <w:rsid w:val="003A03E0"/>
    <w:rsid w:val="003A4A1E"/>
    <w:rsid w:val="003A7313"/>
    <w:rsid w:val="003A7366"/>
    <w:rsid w:val="003B0F85"/>
    <w:rsid w:val="003B2288"/>
    <w:rsid w:val="003B27E4"/>
    <w:rsid w:val="003B52E1"/>
    <w:rsid w:val="003B5460"/>
    <w:rsid w:val="003C3231"/>
    <w:rsid w:val="003C7190"/>
    <w:rsid w:val="003D0C5C"/>
    <w:rsid w:val="003D0E52"/>
    <w:rsid w:val="003D173D"/>
    <w:rsid w:val="003D2D9C"/>
    <w:rsid w:val="003E188F"/>
    <w:rsid w:val="003E1B01"/>
    <w:rsid w:val="003E2278"/>
    <w:rsid w:val="003E5DBF"/>
    <w:rsid w:val="003F50BB"/>
    <w:rsid w:val="00403AF0"/>
    <w:rsid w:val="004101EA"/>
    <w:rsid w:val="00415FF2"/>
    <w:rsid w:val="00417147"/>
    <w:rsid w:val="00427CCB"/>
    <w:rsid w:val="00437B04"/>
    <w:rsid w:val="00452CCB"/>
    <w:rsid w:val="00460215"/>
    <w:rsid w:val="00461150"/>
    <w:rsid w:val="004651B2"/>
    <w:rsid w:val="00465E0E"/>
    <w:rsid w:val="00466212"/>
    <w:rsid w:val="00470D89"/>
    <w:rsid w:val="004734B6"/>
    <w:rsid w:val="0048134C"/>
    <w:rsid w:val="00484563"/>
    <w:rsid w:val="004855C0"/>
    <w:rsid w:val="0048634F"/>
    <w:rsid w:val="004903A5"/>
    <w:rsid w:val="00493C31"/>
    <w:rsid w:val="004A67DB"/>
    <w:rsid w:val="004A7851"/>
    <w:rsid w:val="004B0E1D"/>
    <w:rsid w:val="004B4D20"/>
    <w:rsid w:val="004B596F"/>
    <w:rsid w:val="004C2455"/>
    <w:rsid w:val="004C5019"/>
    <w:rsid w:val="004C5A7B"/>
    <w:rsid w:val="004D16A8"/>
    <w:rsid w:val="004D1BD6"/>
    <w:rsid w:val="004D3919"/>
    <w:rsid w:val="004E0505"/>
    <w:rsid w:val="004F08D8"/>
    <w:rsid w:val="004F4243"/>
    <w:rsid w:val="00500B62"/>
    <w:rsid w:val="00502A78"/>
    <w:rsid w:val="00503296"/>
    <w:rsid w:val="00506AEA"/>
    <w:rsid w:val="005124AB"/>
    <w:rsid w:val="00514B6F"/>
    <w:rsid w:val="005170E3"/>
    <w:rsid w:val="00517328"/>
    <w:rsid w:val="00517ED2"/>
    <w:rsid w:val="00523840"/>
    <w:rsid w:val="00533EE2"/>
    <w:rsid w:val="00536ABC"/>
    <w:rsid w:val="00537E5B"/>
    <w:rsid w:val="00541C85"/>
    <w:rsid w:val="00541EA9"/>
    <w:rsid w:val="005424CD"/>
    <w:rsid w:val="00542666"/>
    <w:rsid w:val="005462FB"/>
    <w:rsid w:val="00547068"/>
    <w:rsid w:val="00551524"/>
    <w:rsid w:val="00555918"/>
    <w:rsid w:val="00564F59"/>
    <w:rsid w:val="00577161"/>
    <w:rsid w:val="00580CAD"/>
    <w:rsid w:val="00581649"/>
    <w:rsid w:val="0058231B"/>
    <w:rsid w:val="00586F9D"/>
    <w:rsid w:val="00586FEF"/>
    <w:rsid w:val="00591174"/>
    <w:rsid w:val="005921DF"/>
    <w:rsid w:val="0059285A"/>
    <w:rsid w:val="00592C11"/>
    <w:rsid w:val="00593882"/>
    <w:rsid w:val="00595D79"/>
    <w:rsid w:val="0059740A"/>
    <w:rsid w:val="005A1730"/>
    <w:rsid w:val="005A60E5"/>
    <w:rsid w:val="005A7966"/>
    <w:rsid w:val="005B0D6B"/>
    <w:rsid w:val="005B1F1A"/>
    <w:rsid w:val="005B3138"/>
    <w:rsid w:val="005B3A43"/>
    <w:rsid w:val="005B65E2"/>
    <w:rsid w:val="005C2ADE"/>
    <w:rsid w:val="005C6A96"/>
    <w:rsid w:val="005D2842"/>
    <w:rsid w:val="005D4BF3"/>
    <w:rsid w:val="005D4DAA"/>
    <w:rsid w:val="005D549C"/>
    <w:rsid w:val="005D6147"/>
    <w:rsid w:val="005E3FD6"/>
    <w:rsid w:val="005F277A"/>
    <w:rsid w:val="005F58F5"/>
    <w:rsid w:val="005F6FA2"/>
    <w:rsid w:val="0061295E"/>
    <w:rsid w:val="006147BA"/>
    <w:rsid w:val="00626AC8"/>
    <w:rsid w:val="00627B54"/>
    <w:rsid w:val="00630309"/>
    <w:rsid w:val="00642EF7"/>
    <w:rsid w:val="00645965"/>
    <w:rsid w:val="00651C14"/>
    <w:rsid w:val="006640BA"/>
    <w:rsid w:val="006724EC"/>
    <w:rsid w:val="006760D7"/>
    <w:rsid w:val="00683676"/>
    <w:rsid w:val="00694098"/>
    <w:rsid w:val="00694FE9"/>
    <w:rsid w:val="006960A5"/>
    <w:rsid w:val="006A2226"/>
    <w:rsid w:val="006A2CF6"/>
    <w:rsid w:val="006A36E4"/>
    <w:rsid w:val="006A3A12"/>
    <w:rsid w:val="006A4062"/>
    <w:rsid w:val="006B1511"/>
    <w:rsid w:val="006B2379"/>
    <w:rsid w:val="006B3CCC"/>
    <w:rsid w:val="006B4248"/>
    <w:rsid w:val="006B4595"/>
    <w:rsid w:val="006B60C4"/>
    <w:rsid w:val="006C1E05"/>
    <w:rsid w:val="006C4EB9"/>
    <w:rsid w:val="006D26F7"/>
    <w:rsid w:val="006D4C60"/>
    <w:rsid w:val="006D4E73"/>
    <w:rsid w:val="006D4F50"/>
    <w:rsid w:val="006D648F"/>
    <w:rsid w:val="006E1493"/>
    <w:rsid w:val="006E5CFB"/>
    <w:rsid w:val="006E5D9B"/>
    <w:rsid w:val="00702B1A"/>
    <w:rsid w:val="0072017E"/>
    <w:rsid w:val="00725D1B"/>
    <w:rsid w:val="007355C2"/>
    <w:rsid w:val="0073662F"/>
    <w:rsid w:val="00741600"/>
    <w:rsid w:val="00745750"/>
    <w:rsid w:val="00747B9E"/>
    <w:rsid w:val="00751E68"/>
    <w:rsid w:val="007560EF"/>
    <w:rsid w:val="007772BD"/>
    <w:rsid w:val="007830D4"/>
    <w:rsid w:val="0078640E"/>
    <w:rsid w:val="00792A48"/>
    <w:rsid w:val="0079689D"/>
    <w:rsid w:val="007A4F52"/>
    <w:rsid w:val="007A5DFF"/>
    <w:rsid w:val="007A70D2"/>
    <w:rsid w:val="007B34BF"/>
    <w:rsid w:val="007B60D4"/>
    <w:rsid w:val="007B6D26"/>
    <w:rsid w:val="007C1EA7"/>
    <w:rsid w:val="007D1379"/>
    <w:rsid w:val="007D5992"/>
    <w:rsid w:val="007D7017"/>
    <w:rsid w:val="007D7C4C"/>
    <w:rsid w:val="007E0771"/>
    <w:rsid w:val="007F31B2"/>
    <w:rsid w:val="00804ADE"/>
    <w:rsid w:val="008065B2"/>
    <w:rsid w:val="00810D04"/>
    <w:rsid w:val="00822869"/>
    <w:rsid w:val="00824ABB"/>
    <w:rsid w:val="0082789F"/>
    <w:rsid w:val="00830611"/>
    <w:rsid w:val="00830A87"/>
    <w:rsid w:val="00830D9A"/>
    <w:rsid w:val="00830DA5"/>
    <w:rsid w:val="008319C1"/>
    <w:rsid w:val="00832424"/>
    <w:rsid w:val="00836DDF"/>
    <w:rsid w:val="00842623"/>
    <w:rsid w:val="00842C64"/>
    <w:rsid w:val="00844E8D"/>
    <w:rsid w:val="00846022"/>
    <w:rsid w:val="00850BE6"/>
    <w:rsid w:val="0085310E"/>
    <w:rsid w:val="00857F06"/>
    <w:rsid w:val="008655FC"/>
    <w:rsid w:val="008662A9"/>
    <w:rsid w:val="00866672"/>
    <w:rsid w:val="008719B1"/>
    <w:rsid w:val="008721C9"/>
    <w:rsid w:val="00873406"/>
    <w:rsid w:val="00875B4D"/>
    <w:rsid w:val="00876628"/>
    <w:rsid w:val="00880772"/>
    <w:rsid w:val="00880C16"/>
    <w:rsid w:val="0088230B"/>
    <w:rsid w:val="00887785"/>
    <w:rsid w:val="008A1074"/>
    <w:rsid w:val="008A586D"/>
    <w:rsid w:val="008A6DCF"/>
    <w:rsid w:val="008A739D"/>
    <w:rsid w:val="008C1040"/>
    <w:rsid w:val="008C239B"/>
    <w:rsid w:val="008D0AEF"/>
    <w:rsid w:val="008D2E39"/>
    <w:rsid w:val="008D3B1E"/>
    <w:rsid w:val="008D5DF2"/>
    <w:rsid w:val="008D61A9"/>
    <w:rsid w:val="008D7AAA"/>
    <w:rsid w:val="008E0B6F"/>
    <w:rsid w:val="008E2CB2"/>
    <w:rsid w:val="008E3E44"/>
    <w:rsid w:val="008F00D4"/>
    <w:rsid w:val="008F0735"/>
    <w:rsid w:val="008F116D"/>
    <w:rsid w:val="008F34E3"/>
    <w:rsid w:val="008F36F9"/>
    <w:rsid w:val="008F3B7E"/>
    <w:rsid w:val="008F40A4"/>
    <w:rsid w:val="008F6A5C"/>
    <w:rsid w:val="00906A87"/>
    <w:rsid w:val="00922B0C"/>
    <w:rsid w:val="009230D4"/>
    <w:rsid w:val="00930665"/>
    <w:rsid w:val="00933F1B"/>
    <w:rsid w:val="009368DD"/>
    <w:rsid w:val="00944EC6"/>
    <w:rsid w:val="00945E8C"/>
    <w:rsid w:val="00947809"/>
    <w:rsid w:val="00947A84"/>
    <w:rsid w:val="00950A90"/>
    <w:rsid w:val="00952AE2"/>
    <w:rsid w:val="00956C5D"/>
    <w:rsid w:val="00966321"/>
    <w:rsid w:val="009675DE"/>
    <w:rsid w:val="009718DE"/>
    <w:rsid w:val="00971AEC"/>
    <w:rsid w:val="009742A1"/>
    <w:rsid w:val="00976B0D"/>
    <w:rsid w:val="00977FC0"/>
    <w:rsid w:val="009805C0"/>
    <w:rsid w:val="00981CBB"/>
    <w:rsid w:val="009876D0"/>
    <w:rsid w:val="0099084F"/>
    <w:rsid w:val="00991813"/>
    <w:rsid w:val="009A571B"/>
    <w:rsid w:val="009A5CD7"/>
    <w:rsid w:val="009B06B7"/>
    <w:rsid w:val="009B2AB2"/>
    <w:rsid w:val="009B54CD"/>
    <w:rsid w:val="009B6B44"/>
    <w:rsid w:val="009C5102"/>
    <w:rsid w:val="009C5721"/>
    <w:rsid w:val="009D581E"/>
    <w:rsid w:val="009D6732"/>
    <w:rsid w:val="009E1492"/>
    <w:rsid w:val="009E3ADF"/>
    <w:rsid w:val="009E3D1A"/>
    <w:rsid w:val="009E41D0"/>
    <w:rsid w:val="009E732C"/>
    <w:rsid w:val="009F0204"/>
    <w:rsid w:val="009F163C"/>
    <w:rsid w:val="00A00376"/>
    <w:rsid w:val="00A005D3"/>
    <w:rsid w:val="00A0338B"/>
    <w:rsid w:val="00A0650D"/>
    <w:rsid w:val="00A10536"/>
    <w:rsid w:val="00A12C5E"/>
    <w:rsid w:val="00A16255"/>
    <w:rsid w:val="00A16D66"/>
    <w:rsid w:val="00A2444E"/>
    <w:rsid w:val="00A24D0E"/>
    <w:rsid w:val="00A25265"/>
    <w:rsid w:val="00A267A1"/>
    <w:rsid w:val="00A27AB6"/>
    <w:rsid w:val="00A304D7"/>
    <w:rsid w:val="00A36F73"/>
    <w:rsid w:val="00A432ED"/>
    <w:rsid w:val="00A4585A"/>
    <w:rsid w:val="00A52E10"/>
    <w:rsid w:val="00A5674D"/>
    <w:rsid w:val="00A57C87"/>
    <w:rsid w:val="00A61116"/>
    <w:rsid w:val="00A6395C"/>
    <w:rsid w:val="00A677B9"/>
    <w:rsid w:val="00A709FE"/>
    <w:rsid w:val="00A75A00"/>
    <w:rsid w:val="00A80A7C"/>
    <w:rsid w:val="00A90F88"/>
    <w:rsid w:val="00A97D1A"/>
    <w:rsid w:val="00AA1407"/>
    <w:rsid w:val="00AA64FF"/>
    <w:rsid w:val="00AB170A"/>
    <w:rsid w:val="00AB201F"/>
    <w:rsid w:val="00AB332A"/>
    <w:rsid w:val="00AC0F26"/>
    <w:rsid w:val="00AC11DB"/>
    <w:rsid w:val="00AC2E96"/>
    <w:rsid w:val="00AD42A8"/>
    <w:rsid w:val="00AE1D6E"/>
    <w:rsid w:val="00AE3F17"/>
    <w:rsid w:val="00AE4DE4"/>
    <w:rsid w:val="00AE6357"/>
    <w:rsid w:val="00AE7CA6"/>
    <w:rsid w:val="00AF0B9A"/>
    <w:rsid w:val="00AF369F"/>
    <w:rsid w:val="00AF69EF"/>
    <w:rsid w:val="00B01F73"/>
    <w:rsid w:val="00B02400"/>
    <w:rsid w:val="00B03616"/>
    <w:rsid w:val="00B13249"/>
    <w:rsid w:val="00B16859"/>
    <w:rsid w:val="00B21C65"/>
    <w:rsid w:val="00B272EA"/>
    <w:rsid w:val="00B33E3B"/>
    <w:rsid w:val="00B350E6"/>
    <w:rsid w:val="00B35CEC"/>
    <w:rsid w:val="00B3606F"/>
    <w:rsid w:val="00B40E46"/>
    <w:rsid w:val="00B40F17"/>
    <w:rsid w:val="00B427DB"/>
    <w:rsid w:val="00B43CB5"/>
    <w:rsid w:val="00B60241"/>
    <w:rsid w:val="00B6459E"/>
    <w:rsid w:val="00B65647"/>
    <w:rsid w:val="00B7088A"/>
    <w:rsid w:val="00B70E98"/>
    <w:rsid w:val="00B73453"/>
    <w:rsid w:val="00B758C7"/>
    <w:rsid w:val="00B75DF4"/>
    <w:rsid w:val="00B81005"/>
    <w:rsid w:val="00B857D5"/>
    <w:rsid w:val="00B941BC"/>
    <w:rsid w:val="00B95AB9"/>
    <w:rsid w:val="00BA42AE"/>
    <w:rsid w:val="00BA5BE7"/>
    <w:rsid w:val="00BB3B4D"/>
    <w:rsid w:val="00BB43B0"/>
    <w:rsid w:val="00BB5A6B"/>
    <w:rsid w:val="00BC25A3"/>
    <w:rsid w:val="00BC4086"/>
    <w:rsid w:val="00BD474E"/>
    <w:rsid w:val="00BD7E50"/>
    <w:rsid w:val="00BE0B99"/>
    <w:rsid w:val="00BE316A"/>
    <w:rsid w:val="00BE6B01"/>
    <w:rsid w:val="00BF2114"/>
    <w:rsid w:val="00BF34A5"/>
    <w:rsid w:val="00C016C0"/>
    <w:rsid w:val="00C01DF6"/>
    <w:rsid w:val="00C13563"/>
    <w:rsid w:val="00C141B6"/>
    <w:rsid w:val="00C16E1F"/>
    <w:rsid w:val="00C16EC2"/>
    <w:rsid w:val="00C17B0E"/>
    <w:rsid w:val="00C22849"/>
    <w:rsid w:val="00C228BC"/>
    <w:rsid w:val="00C23C35"/>
    <w:rsid w:val="00C2606E"/>
    <w:rsid w:val="00C30776"/>
    <w:rsid w:val="00C33565"/>
    <w:rsid w:val="00C360FE"/>
    <w:rsid w:val="00C4090E"/>
    <w:rsid w:val="00C40DF5"/>
    <w:rsid w:val="00C44550"/>
    <w:rsid w:val="00C50309"/>
    <w:rsid w:val="00C51DFE"/>
    <w:rsid w:val="00C52287"/>
    <w:rsid w:val="00C53F7C"/>
    <w:rsid w:val="00C546D2"/>
    <w:rsid w:val="00C5555F"/>
    <w:rsid w:val="00C55AC0"/>
    <w:rsid w:val="00C626CA"/>
    <w:rsid w:val="00C62E49"/>
    <w:rsid w:val="00C707FC"/>
    <w:rsid w:val="00C719C5"/>
    <w:rsid w:val="00C7696E"/>
    <w:rsid w:val="00C82587"/>
    <w:rsid w:val="00C85D4C"/>
    <w:rsid w:val="00C86E82"/>
    <w:rsid w:val="00C95272"/>
    <w:rsid w:val="00CA0387"/>
    <w:rsid w:val="00CA12B7"/>
    <w:rsid w:val="00CA19FE"/>
    <w:rsid w:val="00CA34C0"/>
    <w:rsid w:val="00CA44B0"/>
    <w:rsid w:val="00CA53F1"/>
    <w:rsid w:val="00CA64D5"/>
    <w:rsid w:val="00CA7369"/>
    <w:rsid w:val="00CB312B"/>
    <w:rsid w:val="00CB5544"/>
    <w:rsid w:val="00CB617E"/>
    <w:rsid w:val="00CC09FC"/>
    <w:rsid w:val="00CC3213"/>
    <w:rsid w:val="00CC3533"/>
    <w:rsid w:val="00CD08E6"/>
    <w:rsid w:val="00CD350F"/>
    <w:rsid w:val="00CE14C2"/>
    <w:rsid w:val="00CE26A6"/>
    <w:rsid w:val="00CE60D6"/>
    <w:rsid w:val="00CF4528"/>
    <w:rsid w:val="00CF65F6"/>
    <w:rsid w:val="00D06FAA"/>
    <w:rsid w:val="00D1599E"/>
    <w:rsid w:val="00D20EB6"/>
    <w:rsid w:val="00D22980"/>
    <w:rsid w:val="00D24F83"/>
    <w:rsid w:val="00D27EFD"/>
    <w:rsid w:val="00D30104"/>
    <w:rsid w:val="00D313E7"/>
    <w:rsid w:val="00D33458"/>
    <w:rsid w:val="00D33E41"/>
    <w:rsid w:val="00D34A43"/>
    <w:rsid w:val="00D43626"/>
    <w:rsid w:val="00D45808"/>
    <w:rsid w:val="00D45D12"/>
    <w:rsid w:val="00D472B2"/>
    <w:rsid w:val="00D504BE"/>
    <w:rsid w:val="00D52D52"/>
    <w:rsid w:val="00D5482E"/>
    <w:rsid w:val="00D639D5"/>
    <w:rsid w:val="00D66BBC"/>
    <w:rsid w:val="00D715B6"/>
    <w:rsid w:val="00D72443"/>
    <w:rsid w:val="00D83748"/>
    <w:rsid w:val="00D91CA6"/>
    <w:rsid w:val="00D95807"/>
    <w:rsid w:val="00D9660C"/>
    <w:rsid w:val="00D9781D"/>
    <w:rsid w:val="00D978DC"/>
    <w:rsid w:val="00DA5137"/>
    <w:rsid w:val="00DA57D4"/>
    <w:rsid w:val="00DB1140"/>
    <w:rsid w:val="00DB6714"/>
    <w:rsid w:val="00DD57DD"/>
    <w:rsid w:val="00DD657E"/>
    <w:rsid w:val="00DE0CF9"/>
    <w:rsid w:val="00DE4F81"/>
    <w:rsid w:val="00DE6243"/>
    <w:rsid w:val="00DF1D62"/>
    <w:rsid w:val="00E04EA8"/>
    <w:rsid w:val="00E07576"/>
    <w:rsid w:val="00E07893"/>
    <w:rsid w:val="00E1116C"/>
    <w:rsid w:val="00E1522D"/>
    <w:rsid w:val="00E15263"/>
    <w:rsid w:val="00E15BA1"/>
    <w:rsid w:val="00E16E5A"/>
    <w:rsid w:val="00E20738"/>
    <w:rsid w:val="00E2278D"/>
    <w:rsid w:val="00E24BED"/>
    <w:rsid w:val="00E25BFB"/>
    <w:rsid w:val="00E26369"/>
    <w:rsid w:val="00E26FD8"/>
    <w:rsid w:val="00E3109F"/>
    <w:rsid w:val="00E323CD"/>
    <w:rsid w:val="00E35609"/>
    <w:rsid w:val="00E4139D"/>
    <w:rsid w:val="00E42D9B"/>
    <w:rsid w:val="00E457A4"/>
    <w:rsid w:val="00E45DE6"/>
    <w:rsid w:val="00E5175D"/>
    <w:rsid w:val="00E53F26"/>
    <w:rsid w:val="00E56161"/>
    <w:rsid w:val="00E57E8A"/>
    <w:rsid w:val="00E71168"/>
    <w:rsid w:val="00E77C2B"/>
    <w:rsid w:val="00E82979"/>
    <w:rsid w:val="00E8682F"/>
    <w:rsid w:val="00E87937"/>
    <w:rsid w:val="00E87D63"/>
    <w:rsid w:val="00E90BC7"/>
    <w:rsid w:val="00E93E5C"/>
    <w:rsid w:val="00E96CC5"/>
    <w:rsid w:val="00EA16D5"/>
    <w:rsid w:val="00EA41A8"/>
    <w:rsid w:val="00EB57B8"/>
    <w:rsid w:val="00EB7F7A"/>
    <w:rsid w:val="00EC115E"/>
    <w:rsid w:val="00EC345B"/>
    <w:rsid w:val="00EC4205"/>
    <w:rsid w:val="00ED58DA"/>
    <w:rsid w:val="00EE007E"/>
    <w:rsid w:val="00EE7DEA"/>
    <w:rsid w:val="00EF2173"/>
    <w:rsid w:val="00EF661F"/>
    <w:rsid w:val="00EF6946"/>
    <w:rsid w:val="00F0634C"/>
    <w:rsid w:val="00F07380"/>
    <w:rsid w:val="00F11158"/>
    <w:rsid w:val="00F13CEF"/>
    <w:rsid w:val="00F14D83"/>
    <w:rsid w:val="00F166E6"/>
    <w:rsid w:val="00F20469"/>
    <w:rsid w:val="00F20977"/>
    <w:rsid w:val="00F235B8"/>
    <w:rsid w:val="00F315BD"/>
    <w:rsid w:val="00F31FBE"/>
    <w:rsid w:val="00F34675"/>
    <w:rsid w:val="00F34F54"/>
    <w:rsid w:val="00F36876"/>
    <w:rsid w:val="00F36B4B"/>
    <w:rsid w:val="00F40A09"/>
    <w:rsid w:val="00F43014"/>
    <w:rsid w:val="00F464E2"/>
    <w:rsid w:val="00F47479"/>
    <w:rsid w:val="00F47552"/>
    <w:rsid w:val="00F51AB3"/>
    <w:rsid w:val="00F61F5E"/>
    <w:rsid w:val="00F62191"/>
    <w:rsid w:val="00F709E2"/>
    <w:rsid w:val="00F70C65"/>
    <w:rsid w:val="00F713C0"/>
    <w:rsid w:val="00F75CEF"/>
    <w:rsid w:val="00F8148D"/>
    <w:rsid w:val="00F8389F"/>
    <w:rsid w:val="00F8420E"/>
    <w:rsid w:val="00F92D78"/>
    <w:rsid w:val="00F94A62"/>
    <w:rsid w:val="00F95E6E"/>
    <w:rsid w:val="00FA1F65"/>
    <w:rsid w:val="00FA4AEC"/>
    <w:rsid w:val="00FA62B1"/>
    <w:rsid w:val="00FA6EB7"/>
    <w:rsid w:val="00FA72EE"/>
    <w:rsid w:val="00FB2DCA"/>
    <w:rsid w:val="00FB301C"/>
    <w:rsid w:val="00FB4FBF"/>
    <w:rsid w:val="00FB60CE"/>
    <w:rsid w:val="00FC6CC2"/>
    <w:rsid w:val="00FD3967"/>
    <w:rsid w:val="00FD4301"/>
    <w:rsid w:val="00FD7582"/>
    <w:rsid w:val="00FD778D"/>
    <w:rsid w:val="00FE2769"/>
    <w:rsid w:val="00FE31A2"/>
    <w:rsid w:val="00FE3A06"/>
    <w:rsid w:val="00FF0554"/>
    <w:rsid w:val="00FF0EBA"/>
    <w:rsid w:val="00FF2F8A"/>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545E"/>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53958155">
      <w:bodyDiv w:val="1"/>
      <w:marLeft w:val="0"/>
      <w:marRight w:val="0"/>
      <w:marTop w:val="0"/>
      <w:marBottom w:val="0"/>
      <w:divBdr>
        <w:top w:val="none" w:sz="0" w:space="0" w:color="auto"/>
        <w:left w:val="none" w:sz="0" w:space="0" w:color="auto"/>
        <w:bottom w:val="none" w:sz="0" w:space="0" w:color="auto"/>
        <w:right w:val="none" w:sz="0" w:space="0" w:color="auto"/>
      </w:divBdr>
    </w:div>
    <w:div w:id="1352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2781077/" TargetMode="External"/><Relationship Id="rId18" Type="http://schemas.openxmlformats.org/officeDocument/2006/relationships/hyperlink" Target="https://www.sciencedirect.com/science/article/abs/pii/S0091743511001630" TargetMode="External"/><Relationship Id="rId26" Type="http://schemas.openxmlformats.org/officeDocument/2006/relationships/hyperlink" Target="https://pubmed.ncbi.nlm.nih.gov/26562643/" TargetMode="External"/><Relationship Id="rId39" Type="http://schemas.openxmlformats.org/officeDocument/2006/relationships/footer" Target="footer2.xml"/><Relationship Id="rId21" Type="http://schemas.openxmlformats.org/officeDocument/2006/relationships/hyperlink" Target="https://login.proxy.library.ohio.edu/login?qurl=https://doi.org%2f10.1080%2f21645515.2019.1578596" TargetMode="External"/><Relationship Id="rId34" Type="http://schemas.openxmlformats.org/officeDocument/2006/relationships/hyperlink" Target="https://www.cdc.gov/mmwr/volumes/69/wr/mm6933a1.htm"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ogin.proxy.library.ohio.edu/login?qurl=https://doi.org%2f10.1016%2fj.jadohealth.2009.04.002" TargetMode="External"/><Relationship Id="rId20" Type="http://schemas.openxmlformats.org/officeDocument/2006/relationships/hyperlink" Target="https://login.proxy.library.ohio.edu/login?qurl=https://doi.org%2f10.1002%2f14651858.CD011895.pub2" TargetMode="External"/><Relationship Id="rId29" Type="http://schemas.openxmlformats.org/officeDocument/2006/relationships/hyperlink" Target="https://health.gov/healthypeople/objectives-and-data/browse-objectives/vaccination/increase-proportion-adolescents-who-get-recommended-doses-hpv-vaccine-iid-08"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journals.onlinelibrary.wiley.com/doi/full/10.1002/cncr.28871" TargetMode="External"/><Relationship Id="rId24" Type="http://schemas.openxmlformats.org/officeDocument/2006/relationships/hyperlink" Target="https://pubmed.ncbi.nlm.nih.gov/32745031/" TargetMode="External"/><Relationship Id="rId32" Type="http://schemas.openxmlformats.org/officeDocument/2006/relationships/hyperlink" Target="https://journals.lww.com/pidj/Abstract/2012/02000/Attitudes_of_Pediatricians_and_Primary_Health.13.asp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jph.aphapublications.org/doi/10.2105/AJPH.2009.176628" TargetMode="External"/><Relationship Id="rId23" Type="http://schemas.openxmlformats.org/officeDocument/2006/relationships/hyperlink" Target="https://pubmed.ncbi.nlm.nih.gov/25692717/" TargetMode="External"/><Relationship Id="rId28" Type="http://schemas.openxmlformats.org/officeDocument/2006/relationships/hyperlink" Target="https://www.cdc.gov/mmwr/preview/mmwrhtml/rr56e312a1.htm" TargetMode="External"/><Relationship Id="rId36" Type="http://schemas.openxmlformats.org/officeDocument/2006/relationships/header" Target="header1.xml"/><Relationship Id="rId10" Type="http://schemas.openxmlformats.org/officeDocument/2006/relationships/hyperlink" Target="https://journals.sagepub.com/doi/10.1177/0009922816682788" TargetMode="External"/><Relationship Id="rId19" Type="http://schemas.openxmlformats.org/officeDocument/2006/relationships/hyperlink" Target="https://pubmed.ncbi.nlm.nih.gov/29502627/" TargetMode="External"/><Relationship Id="rId31" Type="http://schemas.openxmlformats.org/officeDocument/2006/relationships/hyperlink" Target="https://pubmed.ncbi.nlm.nih.gov/25055185/" TargetMode="External"/><Relationship Id="rId4" Type="http://schemas.openxmlformats.org/officeDocument/2006/relationships/webSettings" Target="webSettings.xml"/><Relationship Id="rId9" Type="http://schemas.openxmlformats.org/officeDocument/2006/relationships/hyperlink" Target="https://login.proxy.library.ohio.edu/login?qurl=https://doi.org%2f10.1016%2fj.pvr.2019.100189" TargetMode="External"/><Relationship Id="rId14" Type="http://schemas.openxmlformats.org/officeDocument/2006/relationships/hyperlink" Target="https://pubmed.ncbi.nlm.nih.gov/28766319/" TargetMode="External"/><Relationship Id="rId22" Type="http://schemas.openxmlformats.org/officeDocument/2006/relationships/hyperlink" Target="https://journals.sagepub.com/doi/10.1177/1090198114531773" TargetMode="External"/><Relationship Id="rId27" Type="http://schemas.openxmlformats.org/officeDocument/2006/relationships/hyperlink" Target="https://jamanetwork.com/journals/jamapediatrics/article-abstract/1779687" TargetMode="External"/><Relationship Id="rId30" Type="http://schemas.openxmlformats.org/officeDocument/2006/relationships/hyperlink" Target="https://pubmed.ncbi.nlm.nih.gov/25055186/" TargetMode="External"/><Relationship Id="rId35" Type="http://schemas.openxmlformats.org/officeDocument/2006/relationships/hyperlink" Target="https://www.sciencedirect.com/science/article/abs/pii/S0031395516411429?via%3Dihub" TargetMode="External"/><Relationship Id="rId43" Type="http://schemas.openxmlformats.org/officeDocument/2006/relationships/theme" Target="theme/theme1.xml"/><Relationship Id="rId8" Type="http://schemas.openxmlformats.org/officeDocument/2006/relationships/hyperlink" Target="https://login.proxy.library.ohio.edu/login?qurl=https://doi.org%2f10.1001%2fjamapediatrics.2015.0310" TargetMode="External"/><Relationship Id="rId3" Type="http://schemas.openxmlformats.org/officeDocument/2006/relationships/settings" Target="settings.xml"/><Relationship Id="rId12" Type="http://schemas.openxmlformats.org/officeDocument/2006/relationships/hyperlink" Target="https://onlinelibrary.wiley.com/doi/abs/10.1111/josh.12158" TargetMode="External"/><Relationship Id="rId17" Type="http://schemas.openxmlformats.org/officeDocument/2006/relationships/hyperlink" Target="https://login.proxy.library.ohio.edu/login?qurl=https://doi.org%2f10.1177%2f0033354919867734" TargetMode="External"/><Relationship Id="rId25" Type="http://schemas.openxmlformats.org/officeDocument/2006/relationships/hyperlink" Target="https://pubmed.ncbi.nlm.nih.gov/32294534/" TargetMode="External"/><Relationship Id="rId33" Type="http://schemas.openxmlformats.org/officeDocument/2006/relationships/hyperlink" Target="https://www.sciencedirect.com/science/article/pii/S0264410X12004550?via%3Dihub"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384</cp:revision>
  <dcterms:created xsi:type="dcterms:W3CDTF">2021-06-30T13:36:00Z</dcterms:created>
  <dcterms:modified xsi:type="dcterms:W3CDTF">2021-07-21T02:54:00Z</dcterms:modified>
</cp:coreProperties>
</file>