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DF" w:rsidRPr="0088146F" w:rsidRDefault="00CA3DDF" w:rsidP="007E4400">
      <w:pPr>
        <w:contextualSpacing/>
        <w:mirrorIndents/>
        <w:jc w:val="both"/>
        <w:rPr>
          <w:b/>
          <w:sz w:val="22"/>
          <w:szCs w:val="22"/>
        </w:rPr>
      </w:pPr>
      <w:r w:rsidRPr="0088146F">
        <w:rPr>
          <w:b/>
          <w:sz w:val="22"/>
          <w:szCs w:val="22"/>
        </w:rPr>
        <w:t>Case Report</w:t>
      </w:r>
    </w:p>
    <w:p w:rsidR="00CA3DDF" w:rsidRPr="0088146F" w:rsidRDefault="00CA3DDF" w:rsidP="007E4400">
      <w:pPr>
        <w:contextualSpacing/>
        <w:mirrorIndents/>
        <w:jc w:val="both"/>
        <w:rPr>
          <w:sz w:val="20"/>
          <w:szCs w:val="20"/>
        </w:rPr>
      </w:pPr>
    </w:p>
    <w:p w:rsidR="00CA3DDF" w:rsidRPr="0088146F" w:rsidRDefault="00B82A7C" w:rsidP="00FC6C99">
      <w:pPr>
        <w:contextualSpacing/>
        <w:mirrorIndents/>
        <w:jc w:val="center"/>
        <w:rPr>
          <w:b/>
          <w:sz w:val="30"/>
          <w:szCs w:val="30"/>
        </w:rPr>
      </w:pPr>
      <w:r w:rsidRPr="00B82A7C">
        <w:rPr>
          <w:b/>
          <w:sz w:val="30"/>
          <w:szCs w:val="30"/>
        </w:rPr>
        <w:t>Metastatic Spinal Cord Compression in an Asymptomatic Early-50s Patient</w:t>
      </w:r>
    </w:p>
    <w:p w:rsidR="00CA3DDF" w:rsidRPr="0088146F" w:rsidRDefault="00CA3DDF" w:rsidP="007E4400">
      <w:pPr>
        <w:contextualSpacing/>
        <w:mirrorIndents/>
        <w:jc w:val="both"/>
        <w:rPr>
          <w:sz w:val="20"/>
          <w:szCs w:val="20"/>
        </w:rPr>
      </w:pPr>
    </w:p>
    <w:p w:rsidR="00CA3DDF" w:rsidRPr="00CD6347" w:rsidRDefault="007E2667" w:rsidP="007E4400">
      <w:pPr>
        <w:contextualSpacing/>
        <w:mirrorIndents/>
        <w:jc w:val="both"/>
        <w:rPr>
          <w:b/>
          <w:sz w:val="22"/>
          <w:szCs w:val="22"/>
        </w:rPr>
      </w:pPr>
      <w:r w:rsidRPr="007E2667">
        <w:rPr>
          <w:b/>
          <w:sz w:val="22"/>
          <w:szCs w:val="22"/>
        </w:rPr>
        <w:t>Harsh Sharma D.O.</w:t>
      </w:r>
      <w:r w:rsidRPr="00466CF3">
        <w:rPr>
          <w:b/>
          <w:color w:val="FF0000"/>
          <w:sz w:val="22"/>
          <w:szCs w:val="22"/>
          <w:vertAlign w:val="superscript"/>
        </w:rPr>
        <w:t>1</w:t>
      </w:r>
      <w:r w:rsidRPr="007E2667">
        <w:rPr>
          <w:b/>
          <w:sz w:val="22"/>
          <w:szCs w:val="22"/>
        </w:rPr>
        <w:t>,</w:t>
      </w:r>
      <w:r w:rsidR="00466CF3">
        <w:rPr>
          <w:b/>
          <w:sz w:val="22"/>
          <w:szCs w:val="22"/>
        </w:rPr>
        <w:t xml:space="preserve"> Elizabeth Macri M.D.</w:t>
      </w:r>
      <w:r w:rsidR="002A054C">
        <w:rPr>
          <w:b/>
          <w:color w:val="FF0000"/>
          <w:sz w:val="22"/>
          <w:szCs w:val="22"/>
          <w:vertAlign w:val="superscript"/>
        </w:rPr>
        <w:t>2</w:t>
      </w:r>
    </w:p>
    <w:p w:rsidR="00CA3DDF" w:rsidRDefault="00CA3DDF" w:rsidP="007E4400">
      <w:pPr>
        <w:contextualSpacing/>
        <w:mirrorIndents/>
        <w:jc w:val="both"/>
        <w:rPr>
          <w:sz w:val="20"/>
          <w:szCs w:val="20"/>
        </w:rPr>
      </w:pPr>
    </w:p>
    <w:p w:rsidR="005E23BA" w:rsidRPr="005E23BA" w:rsidRDefault="00C94AD0" w:rsidP="005E23BA">
      <w:pPr>
        <w:contextualSpacing/>
        <w:mirrorIndents/>
        <w:jc w:val="both"/>
        <w:rPr>
          <w:sz w:val="20"/>
          <w:szCs w:val="20"/>
        </w:rPr>
      </w:pPr>
      <w:r w:rsidRPr="00C94AD0">
        <w:rPr>
          <w:color w:val="FF0000"/>
          <w:sz w:val="20"/>
          <w:szCs w:val="20"/>
          <w:vertAlign w:val="superscript"/>
        </w:rPr>
        <w:t>1</w:t>
      </w:r>
      <w:r w:rsidR="005E23BA" w:rsidRPr="005E23BA">
        <w:rPr>
          <w:sz w:val="20"/>
          <w:szCs w:val="20"/>
        </w:rPr>
        <w:t>Department of Internal Medicine</w:t>
      </w:r>
      <w:r w:rsidR="00A17891">
        <w:rPr>
          <w:sz w:val="20"/>
          <w:szCs w:val="20"/>
        </w:rPr>
        <w:t xml:space="preserve">, </w:t>
      </w:r>
      <w:r w:rsidR="00A17891" w:rsidRPr="00A17891">
        <w:rPr>
          <w:sz w:val="20"/>
          <w:szCs w:val="20"/>
        </w:rPr>
        <w:t>University of New Mexico Health Sciences Center</w:t>
      </w:r>
      <w:r w:rsidR="006F45A2">
        <w:rPr>
          <w:sz w:val="20"/>
          <w:szCs w:val="20"/>
        </w:rPr>
        <w:t xml:space="preserve">, </w:t>
      </w:r>
      <w:r w:rsidR="006F45A2" w:rsidRPr="006F45A2">
        <w:rPr>
          <w:sz w:val="20"/>
          <w:szCs w:val="20"/>
        </w:rPr>
        <w:t>New Mexico</w:t>
      </w:r>
      <w:r w:rsidR="005F5F79">
        <w:rPr>
          <w:sz w:val="20"/>
          <w:szCs w:val="20"/>
        </w:rPr>
        <w:t>, USA</w:t>
      </w:r>
    </w:p>
    <w:p w:rsidR="00CA3DDF" w:rsidRDefault="00C94AD0" w:rsidP="005E23BA">
      <w:pPr>
        <w:contextualSpacing/>
        <w:mirrorIndents/>
        <w:jc w:val="both"/>
        <w:rPr>
          <w:sz w:val="20"/>
          <w:szCs w:val="20"/>
        </w:rPr>
      </w:pPr>
      <w:r w:rsidRPr="00C94AD0">
        <w:rPr>
          <w:color w:val="FF0000"/>
          <w:sz w:val="20"/>
          <w:szCs w:val="20"/>
          <w:vertAlign w:val="superscript"/>
        </w:rPr>
        <w:t>2</w:t>
      </w:r>
      <w:r w:rsidR="005E23BA" w:rsidRPr="005E23BA">
        <w:rPr>
          <w:sz w:val="20"/>
          <w:szCs w:val="20"/>
        </w:rPr>
        <w:t>Department of Neurology</w:t>
      </w:r>
      <w:r w:rsidR="00EA7DB9">
        <w:rPr>
          <w:sz w:val="20"/>
          <w:szCs w:val="20"/>
        </w:rPr>
        <w:t>,</w:t>
      </w:r>
      <w:r w:rsidR="00711632">
        <w:rPr>
          <w:sz w:val="20"/>
          <w:szCs w:val="20"/>
        </w:rPr>
        <w:t xml:space="preserve"> </w:t>
      </w:r>
      <w:r w:rsidR="00711632" w:rsidRPr="00711632">
        <w:rPr>
          <w:sz w:val="20"/>
          <w:szCs w:val="20"/>
        </w:rPr>
        <w:t>University of New Mexico Health Sciences Center</w:t>
      </w:r>
      <w:r w:rsidR="00F57118">
        <w:rPr>
          <w:sz w:val="20"/>
          <w:szCs w:val="20"/>
        </w:rPr>
        <w:t xml:space="preserve">, </w:t>
      </w:r>
      <w:r w:rsidR="00F57118" w:rsidRPr="00F57118">
        <w:rPr>
          <w:sz w:val="20"/>
          <w:szCs w:val="20"/>
        </w:rPr>
        <w:t>New Mexico</w:t>
      </w:r>
      <w:r w:rsidR="00A615C9">
        <w:rPr>
          <w:sz w:val="20"/>
          <w:szCs w:val="20"/>
        </w:rPr>
        <w:t>, USA</w:t>
      </w:r>
    </w:p>
    <w:p w:rsidR="00EA7DB9" w:rsidRPr="005E23BA" w:rsidRDefault="00EA7DB9" w:rsidP="005E23BA">
      <w:pPr>
        <w:contextualSpacing/>
        <w:mirrorIndents/>
        <w:jc w:val="both"/>
        <w:rPr>
          <w:sz w:val="20"/>
          <w:szCs w:val="20"/>
        </w:rPr>
      </w:pPr>
    </w:p>
    <w:p w:rsidR="00CA3DDF" w:rsidRDefault="00CA3DDF" w:rsidP="00FA0BB2">
      <w:pPr>
        <w:contextualSpacing/>
        <w:mirrorIndents/>
        <w:jc w:val="both"/>
        <w:rPr>
          <w:sz w:val="20"/>
          <w:szCs w:val="20"/>
        </w:rPr>
      </w:pPr>
      <w:r w:rsidRPr="0088146F">
        <w:rPr>
          <w:b/>
          <w:color w:val="FF0000"/>
          <w:sz w:val="20"/>
          <w:szCs w:val="20"/>
          <w:vertAlign w:val="superscript"/>
        </w:rPr>
        <w:t>#</w:t>
      </w:r>
      <w:r w:rsidRPr="0088146F">
        <w:rPr>
          <w:b/>
          <w:sz w:val="20"/>
          <w:szCs w:val="20"/>
        </w:rPr>
        <w:t>Corresponding author:</w:t>
      </w:r>
      <w:r w:rsidRPr="0088146F">
        <w:rPr>
          <w:sz w:val="20"/>
          <w:szCs w:val="20"/>
        </w:rPr>
        <w:t xml:space="preserve"> </w:t>
      </w:r>
      <w:r w:rsidR="0047441E" w:rsidRPr="0047441E">
        <w:rPr>
          <w:sz w:val="20"/>
          <w:szCs w:val="20"/>
        </w:rPr>
        <w:t>Harsh Sharma D.O.</w:t>
      </w:r>
      <w:r>
        <w:rPr>
          <w:sz w:val="20"/>
          <w:szCs w:val="20"/>
        </w:rPr>
        <w:t xml:space="preserve">, </w:t>
      </w:r>
      <w:r w:rsidR="0073298C" w:rsidRPr="0073298C">
        <w:rPr>
          <w:sz w:val="20"/>
          <w:szCs w:val="20"/>
        </w:rPr>
        <w:t>Department of Internal Medicine</w:t>
      </w:r>
      <w:r w:rsidR="00C9227E">
        <w:rPr>
          <w:sz w:val="20"/>
          <w:szCs w:val="20"/>
        </w:rPr>
        <w:t xml:space="preserve">, </w:t>
      </w:r>
      <w:r w:rsidR="00A14EA6" w:rsidRPr="00A17891">
        <w:rPr>
          <w:sz w:val="20"/>
          <w:szCs w:val="20"/>
        </w:rPr>
        <w:t>University of New Mexico</w:t>
      </w:r>
      <w:r w:rsidR="0029578E">
        <w:rPr>
          <w:sz w:val="20"/>
          <w:szCs w:val="20"/>
        </w:rPr>
        <w:t xml:space="preserve">, </w:t>
      </w:r>
      <w:r w:rsidR="00FA0BB2" w:rsidRPr="00FA0BB2">
        <w:rPr>
          <w:sz w:val="20"/>
          <w:szCs w:val="20"/>
        </w:rPr>
        <w:t>915 Camino de Salud NE</w:t>
      </w:r>
      <w:r w:rsidR="0035250A">
        <w:rPr>
          <w:sz w:val="20"/>
          <w:szCs w:val="20"/>
        </w:rPr>
        <w:t xml:space="preserve">, </w:t>
      </w:r>
      <w:r w:rsidR="00FA0BB2" w:rsidRPr="00FA0BB2">
        <w:rPr>
          <w:sz w:val="20"/>
          <w:szCs w:val="20"/>
        </w:rPr>
        <w:t xml:space="preserve">Albuquerque, </w:t>
      </w:r>
      <w:r w:rsidR="006A25B1" w:rsidRPr="006F45A2">
        <w:rPr>
          <w:sz w:val="20"/>
          <w:szCs w:val="20"/>
        </w:rPr>
        <w:t>New Mexico</w:t>
      </w:r>
      <w:r w:rsidR="006A25B1" w:rsidRPr="00FA0BB2">
        <w:rPr>
          <w:sz w:val="20"/>
          <w:szCs w:val="20"/>
        </w:rPr>
        <w:t xml:space="preserve"> </w:t>
      </w:r>
      <w:r w:rsidR="00FA0BB2" w:rsidRPr="00FA0BB2">
        <w:rPr>
          <w:sz w:val="20"/>
          <w:szCs w:val="20"/>
        </w:rPr>
        <w:t>87106</w:t>
      </w:r>
      <w:r w:rsidR="006A25B1">
        <w:rPr>
          <w:sz w:val="20"/>
          <w:szCs w:val="20"/>
        </w:rPr>
        <w:t>, USA</w:t>
      </w:r>
    </w:p>
    <w:p w:rsidR="004173FD" w:rsidRPr="0088146F" w:rsidRDefault="004173FD" w:rsidP="007E4400">
      <w:pPr>
        <w:contextualSpacing/>
        <w:mirrorIndents/>
        <w:jc w:val="both"/>
        <w:rPr>
          <w:sz w:val="20"/>
          <w:szCs w:val="20"/>
        </w:rPr>
      </w:pPr>
    </w:p>
    <w:p w:rsidR="00CA3DDF" w:rsidRPr="0088146F" w:rsidRDefault="00CA3DDF" w:rsidP="007E4400">
      <w:pPr>
        <w:contextualSpacing/>
        <w:mirrorIndents/>
        <w:jc w:val="both"/>
        <w:rPr>
          <w:sz w:val="20"/>
          <w:szCs w:val="20"/>
        </w:rPr>
      </w:pPr>
      <w:r w:rsidRPr="0088146F">
        <w:rPr>
          <w:b/>
          <w:sz w:val="20"/>
          <w:szCs w:val="20"/>
        </w:rPr>
        <w:t>How to cite this article:</w:t>
      </w:r>
      <w:r w:rsidRPr="0088146F">
        <w:rPr>
          <w:sz w:val="20"/>
          <w:szCs w:val="20"/>
        </w:rPr>
        <w:t xml:space="preserve"> </w:t>
      </w:r>
      <w:r w:rsidR="00273515">
        <w:rPr>
          <w:sz w:val="20"/>
          <w:szCs w:val="20"/>
        </w:rPr>
        <w:t>Sharma H</w:t>
      </w:r>
      <w:r w:rsidR="00476574" w:rsidRPr="00476574">
        <w:rPr>
          <w:sz w:val="20"/>
          <w:szCs w:val="20"/>
        </w:rPr>
        <w:t xml:space="preserve">, Macri </w:t>
      </w:r>
      <w:r w:rsidR="00273515">
        <w:rPr>
          <w:sz w:val="20"/>
          <w:szCs w:val="20"/>
        </w:rPr>
        <w:t xml:space="preserve">E </w:t>
      </w:r>
      <w:r w:rsidRPr="0088146F">
        <w:rPr>
          <w:sz w:val="20"/>
          <w:szCs w:val="20"/>
        </w:rPr>
        <w:t xml:space="preserve">(2022) </w:t>
      </w:r>
      <w:r w:rsidR="009E26E0" w:rsidRPr="009E26E0">
        <w:rPr>
          <w:sz w:val="20"/>
          <w:szCs w:val="20"/>
        </w:rPr>
        <w:t>Metastatic Spinal Cord Compression in an Asymptomatic Early-50s Patient</w:t>
      </w:r>
      <w:r>
        <w:rPr>
          <w:sz w:val="20"/>
          <w:szCs w:val="20"/>
        </w:rPr>
        <w:t>. Colu J Cas Repo 02(02): 2022-2</w:t>
      </w:r>
      <w:r w:rsidR="00366CCB">
        <w:rPr>
          <w:sz w:val="20"/>
          <w:szCs w:val="20"/>
        </w:rPr>
        <w:t>1</w:t>
      </w:r>
      <w:bookmarkStart w:id="0" w:name="_GoBack"/>
      <w:bookmarkEnd w:id="0"/>
      <w:r w:rsidRPr="0088146F">
        <w:rPr>
          <w:sz w:val="20"/>
          <w:szCs w:val="20"/>
        </w:rPr>
        <w:t>.</w:t>
      </w:r>
    </w:p>
    <w:p w:rsidR="00CA3DDF" w:rsidRPr="0088146F" w:rsidRDefault="00CA3DDF" w:rsidP="007E4400">
      <w:pPr>
        <w:contextualSpacing/>
        <w:mirrorIndents/>
        <w:jc w:val="both"/>
        <w:rPr>
          <w:sz w:val="20"/>
          <w:szCs w:val="20"/>
        </w:rPr>
      </w:pPr>
    </w:p>
    <w:p w:rsidR="00CA3DDF" w:rsidRPr="0088146F" w:rsidRDefault="00CA3DDF" w:rsidP="007E4400">
      <w:pPr>
        <w:contextualSpacing/>
        <w:mirrorIndents/>
        <w:jc w:val="both"/>
        <w:rPr>
          <w:sz w:val="20"/>
          <w:szCs w:val="20"/>
        </w:rPr>
      </w:pPr>
      <w:r w:rsidRPr="0088146F">
        <w:rPr>
          <w:b/>
          <w:sz w:val="20"/>
          <w:szCs w:val="20"/>
        </w:rPr>
        <w:t>Submission Date:</w:t>
      </w:r>
      <w:r w:rsidRPr="0088146F">
        <w:rPr>
          <w:sz w:val="20"/>
          <w:szCs w:val="20"/>
        </w:rPr>
        <w:t xml:space="preserve"> </w:t>
      </w:r>
      <w:r w:rsidR="003221A2">
        <w:rPr>
          <w:sz w:val="20"/>
          <w:szCs w:val="20"/>
        </w:rPr>
        <w:t>05 March, 2022</w:t>
      </w:r>
      <w:r w:rsidRPr="0088146F">
        <w:rPr>
          <w:sz w:val="20"/>
          <w:szCs w:val="20"/>
        </w:rPr>
        <w:t xml:space="preserve">; </w:t>
      </w:r>
      <w:r w:rsidRPr="0088146F">
        <w:rPr>
          <w:b/>
          <w:sz w:val="20"/>
          <w:szCs w:val="20"/>
        </w:rPr>
        <w:t>Accepted Date:</w:t>
      </w:r>
      <w:r w:rsidR="00D07083">
        <w:rPr>
          <w:sz w:val="20"/>
          <w:szCs w:val="20"/>
        </w:rPr>
        <w:t xml:space="preserve"> 31</w:t>
      </w:r>
      <w:r w:rsidRPr="0088146F">
        <w:rPr>
          <w:sz w:val="20"/>
          <w:szCs w:val="20"/>
        </w:rPr>
        <w:t xml:space="preserve"> March, 2022; </w:t>
      </w:r>
      <w:r w:rsidRPr="0088146F">
        <w:rPr>
          <w:b/>
          <w:sz w:val="20"/>
          <w:szCs w:val="20"/>
        </w:rPr>
        <w:t>Published Online:</w:t>
      </w:r>
      <w:r w:rsidRPr="0088146F">
        <w:rPr>
          <w:sz w:val="20"/>
          <w:szCs w:val="20"/>
        </w:rPr>
        <w:t xml:space="preserve"> </w:t>
      </w:r>
      <w:r w:rsidR="00675C5E">
        <w:rPr>
          <w:sz w:val="20"/>
          <w:szCs w:val="20"/>
        </w:rPr>
        <w:t>05 April</w:t>
      </w:r>
      <w:r w:rsidRPr="0088146F">
        <w:rPr>
          <w:sz w:val="20"/>
          <w:szCs w:val="20"/>
        </w:rPr>
        <w:t>, 2022</w:t>
      </w:r>
    </w:p>
    <w:p w:rsidR="003F3F68" w:rsidRPr="003F3F68" w:rsidRDefault="003F3F68" w:rsidP="007E4400">
      <w:pPr>
        <w:contextualSpacing/>
        <w:mirrorIndents/>
        <w:jc w:val="both"/>
        <w:rPr>
          <w:sz w:val="20"/>
          <w:szCs w:val="20"/>
        </w:rPr>
      </w:pPr>
    </w:p>
    <w:p w:rsidR="00501C1F" w:rsidRPr="008E1374" w:rsidRDefault="00E12511" w:rsidP="007E4400">
      <w:pPr>
        <w:contextualSpacing/>
        <w:mirrorIndents/>
        <w:jc w:val="both"/>
        <w:rPr>
          <w:b/>
          <w:sz w:val="22"/>
          <w:szCs w:val="22"/>
        </w:rPr>
      </w:pPr>
      <w:r w:rsidRPr="008E1374">
        <w:rPr>
          <w:b/>
          <w:sz w:val="22"/>
          <w:szCs w:val="22"/>
        </w:rPr>
        <w:t>Summary</w:t>
      </w:r>
    </w:p>
    <w:p w:rsidR="00E12511" w:rsidRPr="00832BD3" w:rsidRDefault="00E12511" w:rsidP="007E4400">
      <w:pPr>
        <w:contextualSpacing/>
        <w:mirrorIndents/>
        <w:jc w:val="both"/>
        <w:rPr>
          <w:sz w:val="20"/>
          <w:szCs w:val="20"/>
        </w:rPr>
      </w:pPr>
    </w:p>
    <w:p w:rsidR="00501C1F" w:rsidRPr="00832BD3" w:rsidRDefault="00501C1F" w:rsidP="007E4400">
      <w:pPr>
        <w:contextualSpacing/>
        <w:mirrorIndents/>
        <w:jc w:val="both"/>
        <w:rPr>
          <w:sz w:val="20"/>
          <w:szCs w:val="20"/>
        </w:rPr>
      </w:pPr>
      <w:r w:rsidRPr="00832BD3">
        <w:rPr>
          <w:sz w:val="20"/>
          <w:szCs w:val="20"/>
        </w:rPr>
        <w:t xml:space="preserve">An otherwise healthy 54-year-old male presented to the hospital with one day of bilateral lower extremity paresthesias and cramping. MRI T- and L-spine revealed extensive epidural disease at T3/T4, paraspinal masses at T3/T4 on the left and T5/T6 on the right. CT A/P with contrast showed diffuse sclerotic osseous metastatic disease, numerous pulmonary nodules concerning for pulmonary metastasis, and an enlarged, heterogeneous prostate. A concern for </w:t>
      </w:r>
      <w:r w:rsidR="00040767" w:rsidRPr="00832BD3">
        <w:rPr>
          <w:sz w:val="20"/>
          <w:szCs w:val="20"/>
        </w:rPr>
        <w:t xml:space="preserve">Prostate Cancer </w:t>
      </w:r>
      <w:r w:rsidRPr="00832BD3">
        <w:rPr>
          <w:sz w:val="20"/>
          <w:szCs w:val="20"/>
        </w:rPr>
        <w:t xml:space="preserve">(PCa) prompted a prostate-specific antigen level check, which was found to be 1,650 (normal, 0-4). Posterior fourth rib core and epidural tumor biopsies confirmed metastatic adenocarcinoma of the prostate. Metastatic </w:t>
      </w:r>
      <w:r w:rsidR="00327BB8" w:rsidRPr="00832BD3">
        <w:rPr>
          <w:sz w:val="20"/>
          <w:szCs w:val="20"/>
        </w:rPr>
        <w:t xml:space="preserve">Spinal Cord Compression </w:t>
      </w:r>
      <w:r w:rsidRPr="00832BD3">
        <w:rPr>
          <w:sz w:val="20"/>
          <w:szCs w:val="20"/>
        </w:rPr>
        <w:t>(MSCC) is a rare complication of PCa. Maintaining awareness about this rare presentation of a common cancer, with coordination of care between primary and specialty care providers, may guide patients to a more favorable prognosis.</w:t>
      </w:r>
    </w:p>
    <w:p w:rsidR="00501C1F" w:rsidRPr="00832BD3" w:rsidRDefault="00501C1F" w:rsidP="007E4400">
      <w:pPr>
        <w:contextualSpacing/>
        <w:mirrorIndents/>
        <w:jc w:val="both"/>
        <w:rPr>
          <w:sz w:val="20"/>
          <w:szCs w:val="20"/>
        </w:rPr>
      </w:pPr>
    </w:p>
    <w:p w:rsidR="00501C1F" w:rsidRPr="00832BD3" w:rsidRDefault="005711BB" w:rsidP="007E4400">
      <w:pPr>
        <w:contextualSpacing/>
        <w:mirrorIndents/>
        <w:jc w:val="both"/>
        <w:rPr>
          <w:sz w:val="20"/>
          <w:szCs w:val="20"/>
        </w:rPr>
      </w:pPr>
      <w:r w:rsidRPr="005711BB">
        <w:rPr>
          <w:b/>
          <w:sz w:val="22"/>
          <w:szCs w:val="22"/>
        </w:rPr>
        <w:t>Key</w:t>
      </w:r>
      <w:r w:rsidR="00501C1F" w:rsidRPr="005711BB">
        <w:rPr>
          <w:b/>
          <w:sz w:val="22"/>
          <w:szCs w:val="22"/>
        </w:rPr>
        <w:t>words:</w:t>
      </w:r>
      <w:r w:rsidR="00E12511" w:rsidRPr="00832BD3">
        <w:rPr>
          <w:b/>
          <w:sz w:val="20"/>
          <w:szCs w:val="20"/>
        </w:rPr>
        <w:t xml:space="preserve"> </w:t>
      </w:r>
      <w:r w:rsidR="00085223">
        <w:rPr>
          <w:sz w:val="20"/>
          <w:szCs w:val="20"/>
        </w:rPr>
        <w:t>C</w:t>
      </w:r>
      <w:r w:rsidR="00E12511" w:rsidRPr="00832BD3">
        <w:rPr>
          <w:sz w:val="20"/>
          <w:szCs w:val="20"/>
        </w:rPr>
        <w:t>ancer screening;</w:t>
      </w:r>
      <w:r w:rsidR="00501C1F" w:rsidRPr="00832BD3">
        <w:rPr>
          <w:sz w:val="20"/>
          <w:szCs w:val="20"/>
        </w:rPr>
        <w:t xml:space="preserve"> </w:t>
      </w:r>
      <w:r w:rsidR="00085223">
        <w:rPr>
          <w:sz w:val="20"/>
          <w:szCs w:val="20"/>
        </w:rPr>
        <w:t>P</w:t>
      </w:r>
      <w:r w:rsidR="00501C1F" w:rsidRPr="00832BD3">
        <w:rPr>
          <w:sz w:val="20"/>
          <w:szCs w:val="20"/>
        </w:rPr>
        <w:t>rostate c</w:t>
      </w:r>
      <w:r w:rsidR="00E12511" w:rsidRPr="00832BD3">
        <w:rPr>
          <w:sz w:val="20"/>
          <w:szCs w:val="20"/>
        </w:rPr>
        <w:t xml:space="preserve">ancer; </w:t>
      </w:r>
      <w:r w:rsidR="00085223">
        <w:rPr>
          <w:sz w:val="20"/>
          <w:szCs w:val="20"/>
        </w:rPr>
        <w:t>S</w:t>
      </w:r>
      <w:r w:rsidR="00E12511" w:rsidRPr="00832BD3">
        <w:rPr>
          <w:sz w:val="20"/>
          <w:szCs w:val="20"/>
        </w:rPr>
        <w:t>pinal cord compression</w:t>
      </w:r>
    </w:p>
    <w:p w:rsidR="00E12511" w:rsidRPr="00832BD3" w:rsidRDefault="00E12511" w:rsidP="007E4400">
      <w:pPr>
        <w:contextualSpacing/>
        <w:mirrorIndents/>
        <w:jc w:val="both"/>
        <w:rPr>
          <w:sz w:val="20"/>
          <w:szCs w:val="20"/>
        </w:rPr>
      </w:pPr>
    </w:p>
    <w:p w:rsidR="00501C1F" w:rsidRPr="00CD5597" w:rsidRDefault="00E12511" w:rsidP="007E4400">
      <w:pPr>
        <w:contextualSpacing/>
        <w:mirrorIndents/>
        <w:jc w:val="both"/>
        <w:rPr>
          <w:b/>
          <w:sz w:val="22"/>
          <w:szCs w:val="22"/>
        </w:rPr>
      </w:pPr>
      <w:r w:rsidRPr="00CD5597">
        <w:rPr>
          <w:b/>
          <w:sz w:val="22"/>
          <w:szCs w:val="22"/>
        </w:rPr>
        <w:t>Background</w:t>
      </w:r>
    </w:p>
    <w:p w:rsidR="00E12511" w:rsidRPr="00832BD3" w:rsidRDefault="00E12511" w:rsidP="007E4400">
      <w:pPr>
        <w:contextualSpacing/>
        <w:mirrorIndents/>
        <w:jc w:val="both"/>
        <w:rPr>
          <w:sz w:val="20"/>
          <w:szCs w:val="20"/>
        </w:rPr>
      </w:pPr>
    </w:p>
    <w:p w:rsidR="00501C1F" w:rsidRPr="00832BD3" w:rsidRDefault="00501C1F" w:rsidP="007E4400">
      <w:pPr>
        <w:contextualSpacing/>
        <w:mirrorIndents/>
        <w:jc w:val="both"/>
        <w:rPr>
          <w:sz w:val="20"/>
          <w:szCs w:val="20"/>
        </w:rPr>
      </w:pPr>
      <w:r w:rsidRPr="00832BD3">
        <w:rPr>
          <w:sz w:val="20"/>
          <w:szCs w:val="20"/>
        </w:rPr>
        <w:t xml:space="preserve">Currently, the United States Preventive Service Taskforce has a Grade C recommendation for PCa screening in men aged 55-69 years, with the decision to screen to be made on an individual basis with contributing factors that include comorbidities, family history, and race/ethnicity </w:t>
      </w:r>
      <w:r w:rsidRPr="00832BD3">
        <w:rPr>
          <w:color w:val="FF0000"/>
          <w:sz w:val="20"/>
          <w:szCs w:val="20"/>
        </w:rPr>
        <w:t>[1]</w:t>
      </w:r>
      <w:r w:rsidRPr="00832BD3">
        <w:rPr>
          <w:sz w:val="20"/>
          <w:szCs w:val="20"/>
        </w:rPr>
        <w:t xml:space="preserve">. This patient, without a remarkable past medical and family history, falls just outside the screening age but presented with MSCC as a complication of advanced PCa. It is worth considering expansion of current guidelines to younger patients or earlier screening for those with concerning symptoms (eg neurological).  In the United Kingdom, current recommendations for prostate cancer screening include: access to a baseline PSA at age 40, access to testing by all men from the age of 50 and those with an above average risk of cancer should have PSA test access from the age of 45 </w:t>
      </w:r>
      <w:r w:rsidRPr="00832BD3">
        <w:rPr>
          <w:color w:val="FF0000"/>
          <w:sz w:val="20"/>
          <w:szCs w:val="20"/>
        </w:rPr>
        <w:t>[2]</w:t>
      </w:r>
      <w:r w:rsidRPr="00832BD3">
        <w:rPr>
          <w:sz w:val="20"/>
          <w:szCs w:val="20"/>
        </w:rPr>
        <w:t>. This case was previously presented as a poster at the 2021 AMWA Leads Conference on March 26, 2021.</w:t>
      </w:r>
    </w:p>
    <w:p w:rsidR="00E12511" w:rsidRPr="00832BD3" w:rsidRDefault="00E12511" w:rsidP="007E4400">
      <w:pPr>
        <w:contextualSpacing/>
        <w:mirrorIndents/>
        <w:jc w:val="both"/>
        <w:rPr>
          <w:sz w:val="20"/>
          <w:szCs w:val="20"/>
        </w:rPr>
      </w:pPr>
    </w:p>
    <w:p w:rsidR="00501C1F" w:rsidRPr="00D052D9" w:rsidRDefault="00E12511" w:rsidP="007E4400">
      <w:pPr>
        <w:contextualSpacing/>
        <w:mirrorIndents/>
        <w:jc w:val="both"/>
        <w:rPr>
          <w:b/>
          <w:sz w:val="22"/>
          <w:szCs w:val="22"/>
        </w:rPr>
      </w:pPr>
      <w:r w:rsidRPr="00D052D9">
        <w:rPr>
          <w:b/>
          <w:sz w:val="22"/>
          <w:szCs w:val="22"/>
        </w:rPr>
        <w:t>Case Presentation</w:t>
      </w:r>
    </w:p>
    <w:p w:rsidR="00E12511" w:rsidRPr="00832BD3" w:rsidRDefault="00E12511" w:rsidP="007E4400">
      <w:pPr>
        <w:contextualSpacing/>
        <w:mirrorIndents/>
        <w:jc w:val="both"/>
        <w:rPr>
          <w:sz w:val="20"/>
          <w:szCs w:val="20"/>
        </w:rPr>
      </w:pPr>
    </w:p>
    <w:p w:rsidR="00501C1F" w:rsidRDefault="00501C1F" w:rsidP="007E4400">
      <w:pPr>
        <w:contextualSpacing/>
        <w:mirrorIndents/>
        <w:jc w:val="both"/>
        <w:rPr>
          <w:sz w:val="20"/>
          <w:szCs w:val="20"/>
        </w:rPr>
      </w:pPr>
      <w:r w:rsidRPr="00832BD3">
        <w:rPr>
          <w:sz w:val="20"/>
          <w:szCs w:val="20"/>
        </w:rPr>
        <w:t xml:space="preserve">An otherwise healthy 54-year-old male presented to the emergency department with one day of bilateral lower extremity paresthesia and cramping. He was unable to bear full weight on his legs on the day of presentation. Except for a recent mildly sprained back, review of systems was negative. Physical exam was significant for upgoing Babinski reflexes bilaterally, decreased sensation to pinprick below T4 on the right and T6 on the left, and decreased proprioception of both great toes. MRI thoracic and lumbar spine with and without contrast revealed extensive epidural disease at T3/T4, paraspinal masses at T3/T4 on the left and T5/T6 on the right </w:t>
      </w:r>
      <w:r w:rsidRPr="00832BD3">
        <w:rPr>
          <w:color w:val="FF0000"/>
          <w:sz w:val="20"/>
          <w:szCs w:val="20"/>
        </w:rPr>
        <w:t>(Figure 1)</w:t>
      </w:r>
      <w:r w:rsidRPr="00832BD3">
        <w:rPr>
          <w:sz w:val="20"/>
          <w:szCs w:val="20"/>
        </w:rPr>
        <w:t xml:space="preserve"> involving the left fourth rib and right fifth rib with resultant severe neural foraminal and spinal canal stenosis. Computed tomography of the abdomen and pelvis with contrast showed diffuse sclerotic osseous metastatic disease, numerous pulmonary nodules concerning for pulmonary metastasis, and an enlarged, heterogeneous </w:t>
      </w:r>
      <w:r w:rsidRPr="00832BD3">
        <w:rPr>
          <w:sz w:val="20"/>
          <w:szCs w:val="20"/>
        </w:rPr>
        <w:lastRenderedPageBreak/>
        <w:t>prostate. Labs were significant for elevated erythrocyte sedimentation rate (29), C-reactive protein (2.4), and creatine kinase (382). A concern for prostate cancer prompted a prostate-specific antigen level check, which was found to be 1,650 (normal, 0-4). Posterior fourth rib core and epidural tumor biopsies obtained by interventional radiology confirmed metastatic adenocarcinoma of the prostate.</w:t>
      </w:r>
    </w:p>
    <w:p w:rsidR="005A22D5" w:rsidRDefault="005A22D5" w:rsidP="007E4400">
      <w:pPr>
        <w:contextualSpacing/>
        <w:mirrorIndents/>
        <w:jc w:val="both"/>
        <w:rPr>
          <w:sz w:val="20"/>
          <w:szCs w:val="20"/>
        </w:rPr>
      </w:pPr>
    </w:p>
    <w:p w:rsidR="005A22D5" w:rsidRPr="00832BD3" w:rsidRDefault="005A22D5" w:rsidP="007677BA">
      <w:pPr>
        <w:contextualSpacing/>
        <w:mirrorIndents/>
        <w:jc w:val="center"/>
        <w:rPr>
          <w:sz w:val="20"/>
          <w:szCs w:val="20"/>
        </w:rPr>
      </w:pPr>
      <w:r w:rsidRPr="00CB7576">
        <w:rPr>
          <w:rFonts w:eastAsia="Calibri"/>
          <w:noProof/>
          <w:sz w:val="20"/>
          <w:szCs w:val="20"/>
        </w:rPr>
        <w:drawing>
          <wp:inline distT="114300" distB="114300" distL="114300" distR="114300" wp14:anchorId="6DBA372B" wp14:editId="1BE35A2B">
            <wp:extent cx="1980883" cy="279171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80883" cy="2791710"/>
                    </a:xfrm>
                    <a:prstGeom prst="rect">
                      <a:avLst/>
                    </a:prstGeom>
                    <a:ln/>
                  </pic:spPr>
                </pic:pic>
              </a:graphicData>
            </a:graphic>
          </wp:inline>
        </w:drawing>
      </w:r>
    </w:p>
    <w:p w:rsidR="005A22D5" w:rsidRPr="00832BD3" w:rsidRDefault="005A22D5" w:rsidP="007E4400">
      <w:pPr>
        <w:contextualSpacing/>
        <w:mirrorIndents/>
        <w:jc w:val="both"/>
        <w:rPr>
          <w:sz w:val="20"/>
          <w:szCs w:val="20"/>
        </w:rPr>
      </w:pPr>
      <w:r w:rsidRPr="00832BD3">
        <w:rPr>
          <w:b/>
          <w:sz w:val="20"/>
          <w:szCs w:val="20"/>
        </w:rPr>
        <w:t>Figure 1:</w:t>
      </w:r>
      <w:r w:rsidRPr="00832BD3">
        <w:rPr>
          <w:sz w:val="20"/>
          <w:szCs w:val="20"/>
        </w:rPr>
        <w:t xml:space="preserve"> Epidural metastatic prostate cancer with spinal cord compression (red circle). Vertebral body metastatic prostate cancer (blue arrows)</w:t>
      </w:r>
      <w:r>
        <w:rPr>
          <w:sz w:val="20"/>
          <w:szCs w:val="20"/>
        </w:rPr>
        <w:t>.</w:t>
      </w:r>
    </w:p>
    <w:p w:rsidR="005A22D5" w:rsidRPr="00832BD3" w:rsidRDefault="005A22D5" w:rsidP="007E4400">
      <w:pPr>
        <w:contextualSpacing/>
        <w:mirrorIndents/>
        <w:jc w:val="both"/>
        <w:rPr>
          <w:sz w:val="20"/>
          <w:szCs w:val="20"/>
        </w:rPr>
      </w:pPr>
    </w:p>
    <w:p w:rsidR="00501C1F" w:rsidRPr="00832BD3" w:rsidRDefault="00E12511" w:rsidP="007E4400">
      <w:pPr>
        <w:contextualSpacing/>
        <w:mirrorIndents/>
        <w:jc w:val="both"/>
        <w:rPr>
          <w:b/>
          <w:sz w:val="20"/>
          <w:szCs w:val="20"/>
        </w:rPr>
      </w:pPr>
      <w:r w:rsidRPr="00832BD3">
        <w:rPr>
          <w:b/>
          <w:sz w:val="20"/>
          <w:szCs w:val="20"/>
        </w:rPr>
        <w:t>Treatment</w:t>
      </w:r>
    </w:p>
    <w:p w:rsidR="00E12511" w:rsidRPr="00832BD3" w:rsidRDefault="00E12511" w:rsidP="007E4400">
      <w:pPr>
        <w:contextualSpacing/>
        <w:mirrorIndents/>
        <w:jc w:val="both"/>
        <w:rPr>
          <w:sz w:val="20"/>
          <w:szCs w:val="20"/>
        </w:rPr>
      </w:pPr>
    </w:p>
    <w:p w:rsidR="00501C1F" w:rsidRPr="00832BD3" w:rsidRDefault="00501C1F" w:rsidP="007E4400">
      <w:pPr>
        <w:contextualSpacing/>
        <w:mirrorIndents/>
        <w:jc w:val="both"/>
        <w:rPr>
          <w:sz w:val="20"/>
          <w:szCs w:val="20"/>
        </w:rPr>
      </w:pPr>
      <w:r w:rsidRPr="00832BD3">
        <w:rPr>
          <w:sz w:val="20"/>
          <w:szCs w:val="20"/>
        </w:rPr>
        <w:t>Pending outpatient oncology and neurosurgical follow-up, the patient developed lower extremity paralysis and urinary retention, prompting readmission. Magnetic resonance imaging revealed no significant interval changes. He underwent T2-4 laminectomy, T1-6 posterior spinal fusion, and partial mass resection of a lesion at the left transverse process/medial rib at the level of T4. Despite neurosurgical intervention, the patient did not immediately regain motor function to his legs and was recommended to start radiation therapy of the upper thoracic spine to control the metastatic disease and improve cord compression symptoms. He was started on dexamethasone, bicalutamide, and leuprolide with initiation of radiation therapy two weeks post-op.</w:t>
      </w:r>
    </w:p>
    <w:p w:rsidR="00501C1F" w:rsidRPr="00832BD3" w:rsidRDefault="00501C1F" w:rsidP="007E4400">
      <w:pPr>
        <w:contextualSpacing/>
        <w:mirrorIndents/>
        <w:jc w:val="both"/>
        <w:rPr>
          <w:sz w:val="20"/>
          <w:szCs w:val="20"/>
        </w:rPr>
      </w:pPr>
    </w:p>
    <w:p w:rsidR="00501C1F" w:rsidRPr="00832BD3" w:rsidRDefault="00E12511" w:rsidP="007E4400">
      <w:pPr>
        <w:contextualSpacing/>
        <w:mirrorIndents/>
        <w:jc w:val="both"/>
        <w:rPr>
          <w:b/>
          <w:sz w:val="20"/>
          <w:szCs w:val="20"/>
        </w:rPr>
      </w:pPr>
      <w:r w:rsidRPr="00832BD3">
        <w:rPr>
          <w:b/>
          <w:sz w:val="20"/>
          <w:szCs w:val="20"/>
        </w:rPr>
        <w:t>Outcome and Follow-Up</w:t>
      </w:r>
    </w:p>
    <w:p w:rsidR="00F24AA4" w:rsidRPr="00832BD3" w:rsidRDefault="00F24AA4" w:rsidP="007E4400">
      <w:pPr>
        <w:contextualSpacing/>
        <w:mirrorIndents/>
        <w:jc w:val="both"/>
        <w:rPr>
          <w:sz w:val="20"/>
          <w:szCs w:val="20"/>
        </w:rPr>
      </w:pPr>
    </w:p>
    <w:p w:rsidR="00501C1F" w:rsidRPr="00832BD3" w:rsidRDefault="00501C1F" w:rsidP="007E4400">
      <w:pPr>
        <w:contextualSpacing/>
        <w:mirrorIndents/>
        <w:jc w:val="both"/>
        <w:rPr>
          <w:sz w:val="20"/>
          <w:szCs w:val="20"/>
        </w:rPr>
      </w:pPr>
      <w:r w:rsidRPr="00832BD3">
        <w:rPr>
          <w:sz w:val="20"/>
          <w:szCs w:val="20"/>
        </w:rPr>
        <w:t>Due to insurance costs, the patient could not maintain regular follow up with an oncologist. However, he continued to visit with his neurosurgeon. On last follow up, seven months after initial diagnosis, he complained of extremely painful muscle spasms in his back. After requiring complete use of a wheelchair to mobilize for six months, the patient started to have improved lower extremity function and can walk a distance of 10 meters at a time. Metastatic prostate disease is still present on thoracic X-rays. 47-gene panel hereditary cancer genetic testing did not reveal any pathogenic mutations or variants of uncertain significance. While these results do not entirely rule out genetic predispositions for cancer, they certainly make a genetic component to his pathology less likely.</w:t>
      </w:r>
    </w:p>
    <w:p w:rsidR="00501C1F" w:rsidRPr="00832BD3" w:rsidRDefault="00501C1F" w:rsidP="007E4400">
      <w:pPr>
        <w:contextualSpacing/>
        <w:mirrorIndents/>
        <w:jc w:val="both"/>
        <w:rPr>
          <w:sz w:val="20"/>
          <w:szCs w:val="20"/>
        </w:rPr>
      </w:pPr>
    </w:p>
    <w:p w:rsidR="00501C1F" w:rsidRPr="00717CAC" w:rsidRDefault="00E12511" w:rsidP="007E4400">
      <w:pPr>
        <w:contextualSpacing/>
        <w:mirrorIndents/>
        <w:jc w:val="both"/>
        <w:rPr>
          <w:b/>
          <w:sz w:val="22"/>
          <w:szCs w:val="22"/>
        </w:rPr>
      </w:pPr>
      <w:r w:rsidRPr="00717CAC">
        <w:rPr>
          <w:b/>
          <w:sz w:val="22"/>
          <w:szCs w:val="22"/>
        </w:rPr>
        <w:t>Discussion</w:t>
      </w:r>
    </w:p>
    <w:p w:rsidR="00E12511" w:rsidRPr="00832BD3" w:rsidRDefault="00E12511" w:rsidP="007E4400">
      <w:pPr>
        <w:contextualSpacing/>
        <w:mirrorIndents/>
        <w:jc w:val="both"/>
        <w:rPr>
          <w:sz w:val="20"/>
          <w:szCs w:val="20"/>
        </w:rPr>
      </w:pPr>
    </w:p>
    <w:p w:rsidR="00D932CF" w:rsidRDefault="00501C1F" w:rsidP="007E4400">
      <w:pPr>
        <w:contextualSpacing/>
        <w:mirrorIndents/>
        <w:jc w:val="both"/>
        <w:rPr>
          <w:sz w:val="20"/>
          <w:szCs w:val="20"/>
        </w:rPr>
      </w:pPr>
      <w:r w:rsidRPr="00832BD3">
        <w:rPr>
          <w:sz w:val="20"/>
          <w:szCs w:val="20"/>
        </w:rPr>
        <w:t xml:space="preserve">Case estimates of prostate cancer in the US are 191,930 cases and 33,330 deaths in 2020 </w:t>
      </w:r>
      <w:r w:rsidRPr="00832BD3">
        <w:rPr>
          <w:color w:val="FF0000"/>
          <w:sz w:val="20"/>
          <w:szCs w:val="20"/>
        </w:rPr>
        <w:t>[3]</w:t>
      </w:r>
      <w:r w:rsidRPr="00832BD3">
        <w:rPr>
          <w:sz w:val="20"/>
          <w:szCs w:val="20"/>
        </w:rPr>
        <w:t xml:space="preserve">. Of the 6% of patients whose prostate cancer is metastatic at the time of diagnosis, the most common symptom is bone pain </w:t>
      </w:r>
      <w:r w:rsidRPr="00832BD3">
        <w:rPr>
          <w:color w:val="FF0000"/>
          <w:sz w:val="20"/>
          <w:szCs w:val="20"/>
        </w:rPr>
        <w:t>[4]</w:t>
      </w:r>
      <w:r w:rsidRPr="00832BD3">
        <w:rPr>
          <w:sz w:val="20"/>
          <w:szCs w:val="20"/>
        </w:rPr>
        <w:t xml:space="preserve">. Metastatic </w:t>
      </w:r>
      <w:r w:rsidR="008209FD" w:rsidRPr="00832BD3">
        <w:rPr>
          <w:sz w:val="20"/>
          <w:szCs w:val="20"/>
        </w:rPr>
        <w:t xml:space="preserve">Spinal Cord Compression </w:t>
      </w:r>
      <w:r w:rsidRPr="00832BD3">
        <w:rPr>
          <w:sz w:val="20"/>
          <w:szCs w:val="20"/>
        </w:rPr>
        <w:t xml:space="preserve">(MSCC) is a rare complication of PCa, resulting via hematogenous spread from prostatic venous plexus drainage into the internal iliac vein, which connects with the vertebral venous plexus </w:t>
      </w:r>
      <w:r w:rsidRPr="00832BD3">
        <w:rPr>
          <w:color w:val="FF0000"/>
          <w:sz w:val="20"/>
          <w:szCs w:val="20"/>
        </w:rPr>
        <w:t>[5]</w:t>
      </w:r>
      <w:r w:rsidRPr="00832BD3">
        <w:rPr>
          <w:sz w:val="20"/>
          <w:szCs w:val="20"/>
        </w:rPr>
        <w:t xml:space="preserve">. Most spinal cord lesions are related to epidural compression </w:t>
      </w:r>
      <w:r w:rsidRPr="00832BD3">
        <w:rPr>
          <w:color w:val="FF0000"/>
          <w:sz w:val="20"/>
          <w:szCs w:val="20"/>
        </w:rPr>
        <w:t>[6]</w:t>
      </w:r>
      <w:r w:rsidRPr="00832BD3">
        <w:rPr>
          <w:sz w:val="20"/>
          <w:szCs w:val="20"/>
        </w:rPr>
        <w:t xml:space="preserve">. Treatment options, any combination of hormonal therapy, laminectomy, and radiation therapy, are predominantly palliative, especially when a patient has rapidly progressed to paraplegia </w:t>
      </w:r>
      <w:r w:rsidRPr="00832BD3">
        <w:rPr>
          <w:color w:val="FF0000"/>
          <w:sz w:val="20"/>
          <w:szCs w:val="20"/>
        </w:rPr>
        <w:t>[5]</w:t>
      </w:r>
      <w:r w:rsidRPr="00832BD3">
        <w:rPr>
          <w:sz w:val="20"/>
          <w:szCs w:val="20"/>
        </w:rPr>
        <w:t xml:space="preserve">. There has been an increase in the incidence of distant metastatic disease since the </w:t>
      </w:r>
      <w:r w:rsidR="00846F4D" w:rsidRPr="00832BD3">
        <w:rPr>
          <w:sz w:val="20"/>
          <w:szCs w:val="20"/>
        </w:rPr>
        <w:t xml:space="preserve">United States Preventive Service Task force </w:t>
      </w:r>
      <w:r w:rsidRPr="00832BD3">
        <w:rPr>
          <w:sz w:val="20"/>
          <w:szCs w:val="20"/>
        </w:rPr>
        <w:t xml:space="preserve">(USPSTF) prostate cancer screening recommendations </w:t>
      </w:r>
      <w:r w:rsidRPr="00832BD3">
        <w:rPr>
          <w:sz w:val="20"/>
          <w:szCs w:val="20"/>
        </w:rPr>
        <w:lastRenderedPageBreak/>
        <w:t xml:space="preserve">changed in 2012 to Grade D: age 50-74 6.2 to 7.1 (per 100,000 persons) in 2010 versus 2015, respectively (p&lt;.001) </w:t>
      </w:r>
      <w:r w:rsidRPr="00832BD3">
        <w:rPr>
          <w:color w:val="FF0000"/>
          <w:sz w:val="20"/>
          <w:szCs w:val="20"/>
        </w:rPr>
        <w:t>[7]</w:t>
      </w:r>
      <w:r w:rsidRPr="00832BD3">
        <w:rPr>
          <w:sz w:val="20"/>
          <w:szCs w:val="20"/>
        </w:rPr>
        <w:t xml:space="preserve">. The latest USPSTF guidelines, updated in 2018, offer a Grade C recommendation for individualized decision-making based on patient characteristics (including family history, race/ethnicity, comorbidities) for males aged 55 to 59 years old </w:t>
      </w:r>
      <w:r w:rsidRPr="00832BD3">
        <w:rPr>
          <w:color w:val="FF0000"/>
          <w:sz w:val="20"/>
          <w:szCs w:val="20"/>
        </w:rPr>
        <w:t>[1]</w:t>
      </w:r>
      <w:r w:rsidRPr="00832BD3">
        <w:rPr>
          <w:sz w:val="20"/>
          <w:szCs w:val="20"/>
        </w:rPr>
        <w:t>. In the coming years, data obtained after USPSTF 2018 prostate cancer screening guidelines were announced could very well show a reversal of metastatic disease incidence. However, guidelines that capture a broader patient population (e.g. males aged &gt;50 years) and encourage providers to inquire about the aforementioned patient characteristics may further reduce the incidence of debilitating consequences from this common cancer, such as the ones that our patient suffered from.</w:t>
      </w:r>
    </w:p>
    <w:p w:rsidR="00CA1017" w:rsidRDefault="00CA1017" w:rsidP="007E4400">
      <w:pPr>
        <w:contextualSpacing/>
        <w:mirrorIndents/>
        <w:jc w:val="both"/>
        <w:rPr>
          <w:sz w:val="20"/>
          <w:szCs w:val="20"/>
        </w:rPr>
      </w:pPr>
    </w:p>
    <w:p w:rsidR="00501C1F" w:rsidRPr="00B01B62" w:rsidRDefault="00E12511" w:rsidP="007E4400">
      <w:pPr>
        <w:contextualSpacing/>
        <w:mirrorIndents/>
        <w:jc w:val="both"/>
        <w:rPr>
          <w:sz w:val="22"/>
          <w:szCs w:val="22"/>
        </w:rPr>
      </w:pPr>
      <w:r w:rsidRPr="00B01B62">
        <w:rPr>
          <w:b/>
          <w:sz w:val="22"/>
          <w:szCs w:val="22"/>
        </w:rPr>
        <w:t>Learning Points/Take Home Messages</w:t>
      </w:r>
    </w:p>
    <w:p w:rsidR="00501C1F" w:rsidRPr="00832BD3" w:rsidRDefault="00501C1F" w:rsidP="007E4400">
      <w:pPr>
        <w:contextualSpacing/>
        <w:mirrorIndents/>
        <w:jc w:val="both"/>
        <w:rPr>
          <w:sz w:val="20"/>
          <w:szCs w:val="20"/>
        </w:rPr>
      </w:pPr>
    </w:p>
    <w:p w:rsidR="00501C1F" w:rsidRDefault="00501C1F" w:rsidP="007E4400">
      <w:pPr>
        <w:contextualSpacing/>
        <w:mirrorIndents/>
        <w:jc w:val="both"/>
        <w:rPr>
          <w:sz w:val="20"/>
          <w:szCs w:val="20"/>
        </w:rPr>
      </w:pPr>
      <w:r w:rsidRPr="00832BD3">
        <w:rPr>
          <w:sz w:val="20"/>
          <w:szCs w:val="20"/>
        </w:rPr>
        <w:t>Prostate cancer is the most common non-cutaneous malignancy in males. 6% of patients have metastatic cancer at the time of diagnosis. Maintain a high suspicion for metastatic spinal cord compression in patient with elevated prostate-specific antigen, neurological abnormalities, and sudden onset muscle weakness. Diagnostic tools to assist with this diagnosis include magnetic resonance imaging and computed tomography of the spine, and bone or tumor biopsies for pathology confirmation.</w:t>
      </w:r>
    </w:p>
    <w:p w:rsidR="00897A6E" w:rsidRPr="00832BD3" w:rsidRDefault="00897A6E" w:rsidP="007E4400">
      <w:pPr>
        <w:contextualSpacing/>
        <w:mirrorIndents/>
        <w:jc w:val="both"/>
        <w:rPr>
          <w:sz w:val="20"/>
          <w:szCs w:val="20"/>
        </w:rPr>
      </w:pPr>
    </w:p>
    <w:p w:rsidR="00501C1F" w:rsidRPr="00487C3A" w:rsidRDefault="00E12511" w:rsidP="00104D81">
      <w:pPr>
        <w:contextualSpacing/>
        <w:mirrorIndents/>
        <w:jc w:val="center"/>
        <w:rPr>
          <w:b/>
          <w:sz w:val="22"/>
          <w:szCs w:val="22"/>
        </w:rPr>
      </w:pPr>
      <w:r w:rsidRPr="00487C3A">
        <w:rPr>
          <w:b/>
          <w:sz w:val="22"/>
          <w:szCs w:val="22"/>
        </w:rPr>
        <w:t>References</w:t>
      </w:r>
    </w:p>
    <w:p w:rsidR="00E12511" w:rsidRPr="00832BD3" w:rsidRDefault="00E12511" w:rsidP="007E4400">
      <w:pPr>
        <w:contextualSpacing/>
        <w:mirrorIndents/>
        <w:jc w:val="both"/>
        <w:rPr>
          <w:sz w:val="20"/>
          <w:szCs w:val="20"/>
        </w:rPr>
      </w:pPr>
    </w:p>
    <w:p w:rsidR="00501C1F"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8" w:history="1">
        <w:r w:rsidR="00414419" w:rsidRPr="000722BE">
          <w:rPr>
            <w:rStyle w:val="Hyperlink"/>
            <w:rFonts w:ascii="Times New Roman" w:hAnsi="Times New Roman" w:cs="Times New Roman"/>
            <w:sz w:val="20"/>
            <w:szCs w:val="20"/>
            <w:u w:val="none"/>
          </w:rPr>
          <w:t xml:space="preserve">Curry SJ, Owens DK </w:t>
        </w:r>
        <w:r w:rsidR="004C3CC0" w:rsidRPr="000722BE">
          <w:rPr>
            <w:rStyle w:val="Hyperlink"/>
            <w:rFonts w:ascii="Times New Roman" w:hAnsi="Times New Roman" w:cs="Times New Roman"/>
            <w:sz w:val="20"/>
            <w:szCs w:val="20"/>
            <w:u w:val="none"/>
          </w:rPr>
          <w:t xml:space="preserve">(2018) </w:t>
        </w:r>
        <w:r w:rsidR="00501C1F" w:rsidRPr="000722BE">
          <w:rPr>
            <w:rStyle w:val="Hyperlink"/>
            <w:rFonts w:ascii="Times New Roman" w:hAnsi="Times New Roman" w:cs="Times New Roman"/>
            <w:sz w:val="20"/>
            <w:szCs w:val="20"/>
            <w:u w:val="none"/>
          </w:rPr>
          <w:t>US Preventive Services Task Force, Grossman, Screening for Prostate Cancer: US Preventive Services Task Force Recommendat</w:t>
        </w:r>
        <w:r w:rsidR="004C3CC0" w:rsidRPr="000722BE">
          <w:rPr>
            <w:rStyle w:val="Hyperlink"/>
            <w:rFonts w:ascii="Times New Roman" w:hAnsi="Times New Roman" w:cs="Times New Roman"/>
            <w:sz w:val="20"/>
            <w:szCs w:val="20"/>
            <w:u w:val="none"/>
          </w:rPr>
          <w:t>ion Statement 319: 1901-1913.</w:t>
        </w:r>
      </w:hyperlink>
    </w:p>
    <w:p w:rsidR="00501C1F"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9" w:history="1">
        <w:r w:rsidR="002C7984" w:rsidRPr="000722BE">
          <w:rPr>
            <w:rStyle w:val="Hyperlink"/>
            <w:rFonts w:ascii="Times New Roman" w:hAnsi="Times New Roman" w:cs="Times New Roman"/>
            <w:sz w:val="20"/>
            <w:szCs w:val="20"/>
            <w:u w:val="none"/>
          </w:rPr>
          <w:t xml:space="preserve">Prostate Cancer UK. </w:t>
        </w:r>
        <w:r w:rsidR="00501C1F" w:rsidRPr="000722BE">
          <w:rPr>
            <w:rStyle w:val="Hyperlink"/>
            <w:rFonts w:ascii="Times New Roman" w:hAnsi="Times New Roman" w:cs="Times New Roman"/>
            <w:sz w:val="20"/>
            <w:szCs w:val="20"/>
            <w:u w:val="none"/>
          </w:rPr>
          <w:t>PSA Consensus for Health Professionals.</w:t>
        </w:r>
      </w:hyperlink>
    </w:p>
    <w:p w:rsidR="00501C1F"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10" w:history="1">
        <w:r w:rsidR="00D93931" w:rsidRPr="000722BE">
          <w:rPr>
            <w:rStyle w:val="Hyperlink"/>
            <w:rFonts w:ascii="Times New Roman" w:hAnsi="Times New Roman" w:cs="Times New Roman"/>
            <w:sz w:val="20"/>
            <w:szCs w:val="20"/>
            <w:u w:val="none"/>
          </w:rPr>
          <w:t>Siegel RL, Miller KD, Jemal A (2020)</w:t>
        </w:r>
        <w:r w:rsidR="00501C1F" w:rsidRPr="000722BE">
          <w:rPr>
            <w:rStyle w:val="Hyperlink"/>
            <w:rFonts w:ascii="Times New Roman" w:hAnsi="Times New Roman" w:cs="Times New Roman"/>
            <w:sz w:val="20"/>
            <w:szCs w:val="20"/>
            <w:u w:val="none"/>
          </w:rPr>
          <w:t xml:space="preserve"> Cancer statistics, 2020. CA: </w:t>
        </w:r>
        <w:r w:rsidR="00D93931" w:rsidRPr="000722BE">
          <w:rPr>
            <w:rStyle w:val="Hyperlink"/>
            <w:rFonts w:ascii="Times New Roman" w:hAnsi="Times New Roman" w:cs="Times New Roman"/>
            <w:sz w:val="20"/>
            <w:szCs w:val="20"/>
            <w:u w:val="none"/>
          </w:rPr>
          <w:t>A Cancer Journal for Clinicians 70:</w:t>
        </w:r>
        <w:r w:rsidR="00501C1F" w:rsidRPr="000722BE">
          <w:rPr>
            <w:rStyle w:val="Hyperlink"/>
            <w:rFonts w:ascii="Times New Roman" w:hAnsi="Times New Roman" w:cs="Times New Roman"/>
            <w:sz w:val="20"/>
            <w:szCs w:val="20"/>
            <w:u w:val="none"/>
          </w:rPr>
          <w:t xml:space="preserve"> 7</w:t>
        </w:r>
        <w:r w:rsidR="007B06D8" w:rsidRPr="000722BE">
          <w:rPr>
            <w:rStyle w:val="Hyperlink"/>
            <w:rFonts w:ascii="Times New Roman" w:hAnsi="Times New Roman" w:cs="Times New Roman"/>
            <w:sz w:val="20"/>
            <w:szCs w:val="20"/>
            <w:u w:val="none"/>
          </w:rPr>
          <w:t>-</w:t>
        </w:r>
        <w:r w:rsidR="00501C1F" w:rsidRPr="000722BE">
          <w:rPr>
            <w:rStyle w:val="Hyperlink"/>
            <w:rFonts w:ascii="Times New Roman" w:hAnsi="Times New Roman" w:cs="Times New Roman"/>
            <w:sz w:val="20"/>
            <w:szCs w:val="20"/>
            <w:u w:val="none"/>
          </w:rPr>
          <w:t>30.</w:t>
        </w:r>
      </w:hyperlink>
      <w:r w:rsidR="00501C1F" w:rsidRPr="000722BE">
        <w:rPr>
          <w:rFonts w:ascii="Times New Roman" w:hAnsi="Times New Roman" w:cs="Times New Roman"/>
          <w:sz w:val="20"/>
          <w:szCs w:val="20"/>
        </w:rPr>
        <w:t xml:space="preserve"> </w:t>
      </w:r>
    </w:p>
    <w:p w:rsidR="00327BB8"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11" w:history="1">
        <w:r w:rsidR="00501C1F" w:rsidRPr="000722BE">
          <w:rPr>
            <w:rStyle w:val="Hyperlink"/>
            <w:rFonts w:ascii="Times New Roman" w:hAnsi="Times New Roman" w:cs="Times New Roman"/>
            <w:sz w:val="20"/>
            <w:szCs w:val="20"/>
            <w:u w:val="none"/>
          </w:rPr>
          <w:t>Clinical presentation and diagnosis of prostate cancer</w:t>
        </w:r>
        <w:r w:rsidR="002C7984" w:rsidRPr="000722BE">
          <w:rPr>
            <w:rStyle w:val="Hyperlink"/>
            <w:rFonts w:ascii="Times New Roman" w:hAnsi="Times New Roman" w:cs="Times New Roman"/>
            <w:sz w:val="20"/>
            <w:szCs w:val="20"/>
            <w:u w:val="none"/>
          </w:rPr>
          <w:t>-</w:t>
        </w:r>
        <w:r w:rsidR="00501C1F" w:rsidRPr="000722BE">
          <w:rPr>
            <w:rStyle w:val="Hyperlink"/>
            <w:rFonts w:ascii="Times New Roman" w:hAnsi="Times New Roman" w:cs="Times New Roman"/>
            <w:sz w:val="20"/>
            <w:szCs w:val="20"/>
            <w:u w:val="none"/>
          </w:rPr>
          <w:t>UpToDate.</w:t>
        </w:r>
      </w:hyperlink>
      <w:r w:rsidR="00501C1F" w:rsidRPr="000722BE">
        <w:rPr>
          <w:rFonts w:ascii="Times New Roman" w:hAnsi="Times New Roman" w:cs="Times New Roman"/>
          <w:sz w:val="20"/>
          <w:szCs w:val="20"/>
        </w:rPr>
        <w:t xml:space="preserve"> </w:t>
      </w:r>
    </w:p>
    <w:p w:rsidR="00501C1F"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12" w:history="1">
        <w:r w:rsidR="006D5E65" w:rsidRPr="000722BE">
          <w:rPr>
            <w:rStyle w:val="Hyperlink"/>
            <w:rFonts w:ascii="Times New Roman" w:hAnsi="Times New Roman" w:cs="Times New Roman"/>
            <w:sz w:val="20"/>
            <w:szCs w:val="20"/>
            <w:u w:val="none"/>
          </w:rPr>
          <w:t>Eke N (2001)</w:t>
        </w:r>
        <w:r w:rsidR="00501C1F" w:rsidRPr="000722BE">
          <w:rPr>
            <w:rStyle w:val="Hyperlink"/>
            <w:rFonts w:ascii="Times New Roman" w:hAnsi="Times New Roman" w:cs="Times New Roman"/>
            <w:sz w:val="20"/>
            <w:szCs w:val="20"/>
            <w:u w:val="none"/>
          </w:rPr>
          <w:t xml:space="preserve"> Symptomatic spinal cord involvement in prostate cancer. The Cent</w:t>
        </w:r>
        <w:r w:rsidR="006D5E65" w:rsidRPr="000722BE">
          <w:rPr>
            <w:rStyle w:val="Hyperlink"/>
            <w:rFonts w:ascii="Times New Roman" w:hAnsi="Times New Roman" w:cs="Times New Roman"/>
            <w:sz w:val="20"/>
            <w:szCs w:val="20"/>
            <w:u w:val="none"/>
          </w:rPr>
          <w:t>ral African Journal of Medicine 47:</w:t>
        </w:r>
        <w:r w:rsidR="002C7984" w:rsidRPr="000722BE">
          <w:rPr>
            <w:rStyle w:val="Hyperlink"/>
            <w:rFonts w:ascii="Times New Roman" w:hAnsi="Times New Roman" w:cs="Times New Roman"/>
            <w:sz w:val="20"/>
            <w:szCs w:val="20"/>
            <w:u w:val="none"/>
          </w:rPr>
          <w:t xml:space="preserve"> 49-</w:t>
        </w:r>
        <w:r w:rsidR="00501C1F" w:rsidRPr="000722BE">
          <w:rPr>
            <w:rStyle w:val="Hyperlink"/>
            <w:rFonts w:ascii="Times New Roman" w:hAnsi="Times New Roman" w:cs="Times New Roman"/>
            <w:sz w:val="20"/>
            <w:szCs w:val="20"/>
            <w:u w:val="none"/>
          </w:rPr>
          <w:t>53.</w:t>
        </w:r>
      </w:hyperlink>
    </w:p>
    <w:p w:rsidR="00501C1F" w:rsidRPr="000722BE" w:rsidRDefault="002272B9" w:rsidP="00A77829">
      <w:pPr>
        <w:pStyle w:val="ListParagraph"/>
        <w:numPr>
          <w:ilvl w:val="0"/>
          <w:numId w:val="28"/>
        </w:numPr>
        <w:spacing w:after="0" w:line="240" w:lineRule="auto"/>
        <w:mirrorIndents/>
        <w:jc w:val="both"/>
        <w:rPr>
          <w:rFonts w:ascii="Times New Roman" w:hAnsi="Times New Roman" w:cs="Times New Roman"/>
          <w:sz w:val="20"/>
          <w:szCs w:val="20"/>
        </w:rPr>
      </w:pPr>
      <w:hyperlink r:id="rId13" w:history="1">
        <w:r w:rsidR="00FA359C" w:rsidRPr="000722BE">
          <w:rPr>
            <w:rStyle w:val="Hyperlink"/>
            <w:rFonts w:ascii="Times New Roman" w:hAnsi="Times New Roman" w:cs="Times New Roman"/>
            <w:sz w:val="20"/>
            <w:szCs w:val="20"/>
            <w:u w:val="none"/>
          </w:rPr>
          <w:t>Jalali K, Denis C, Pierre R</w:t>
        </w:r>
        <w:r w:rsidR="00501C1F" w:rsidRPr="000722BE">
          <w:rPr>
            <w:rStyle w:val="Hyperlink"/>
            <w:rFonts w:ascii="Times New Roman" w:hAnsi="Times New Roman" w:cs="Times New Roman"/>
            <w:sz w:val="20"/>
            <w:szCs w:val="20"/>
            <w:u w:val="none"/>
          </w:rPr>
          <w:t xml:space="preserve">, </w:t>
        </w:r>
        <w:r w:rsidR="00FA359C" w:rsidRPr="000722BE">
          <w:rPr>
            <w:rStyle w:val="Hyperlink"/>
            <w:rFonts w:ascii="Times New Roman" w:hAnsi="Times New Roman" w:cs="Times New Roman"/>
            <w:sz w:val="20"/>
            <w:szCs w:val="20"/>
            <w:u w:val="none"/>
          </w:rPr>
          <w:t>et al</w:t>
        </w:r>
        <w:r w:rsidR="002C7984" w:rsidRPr="000722BE">
          <w:rPr>
            <w:rStyle w:val="Hyperlink"/>
            <w:rFonts w:ascii="Times New Roman" w:hAnsi="Times New Roman" w:cs="Times New Roman"/>
            <w:sz w:val="20"/>
            <w:szCs w:val="20"/>
            <w:u w:val="none"/>
          </w:rPr>
          <w:t>.</w:t>
        </w:r>
        <w:r w:rsidR="00646277" w:rsidRPr="000722BE">
          <w:rPr>
            <w:rStyle w:val="Hyperlink"/>
            <w:rFonts w:ascii="Times New Roman" w:hAnsi="Times New Roman" w:cs="Times New Roman"/>
            <w:sz w:val="20"/>
            <w:szCs w:val="20"/>
            <w:u w:val="none"/>
          </w:rPr>
          <w:t xml:space="preserve"> (</w:t>
        </w:r>
        <w:r w:rsidR="005D62D1" w:rsidRPr="000722BE">
          <w:rPr>
            <w:rStyle w:val="Hyperlink"/>
            <w:rFonts w:ascii="Times New Roman" w:hAnsi="Times New Roman" w:cs="Times New Roman"/>
            <w:sz w:val="20"/>
            <w:szCs w:val="20"/>
            <w:u w:val="none"/>
          </w:rPr>
          <w:t>2004</w:t>
        </w:r>
        <w:r w:rsidR="00646277" w:rsidRPr="000722BE">
          <w:rPr>
            <w:rStyle w:val="Hyperlink"/>
            <w:rFonts w:ascii="Times New Roman" w:hAnsi="Times New Roman" w:cs="Times New Roman"/>
            <w:sz w:val="20"/>
            <w:szCs w:val="20"/>
            <w:u w:val="none"/>
          </w:rPr>
          <w:t>)</w:t>
        </w:r>
        <w:r w:rsidR="002C7984" w:rsidRPr="000722BE">
          <w:rPr>
            <w:rStyle w:val="Hyperlink"/>
            <w:rFonts w:ascii="Times New Roman" w:hAnsi="Times New Roman" w:cs="Times New Roman"/>
            <w:sz w:val="20"/>
            <w:szCs w:val="20"/>
            <w:u w:val="none"/>
          </w:rPr>
          <w:t xml:space="preserve"> </w:t>
        </w:r>
        <w:r w:rsidR="00501C1F" w:rsidRPr="000722BE">
          <w:rPr>
            <w:rStyle w:val="Hyperlink"/>
            <w:rFonts w:ascii="Times New Roman" w:hAnsi="Times New Roman" w:cs="Times New Roman"/>
            <w:sz w:val="20"/>
            <w:szCs w:val="20"/>
            <w:u w:val="none"/>
          </w:rPr>
          <w:t xml:space="preserve">Spinal cord </w:t>
        </w:r>
        <w:r w:rsidR="002C7984" w:rsidRPr="000722BE">
          <w:rPr>
            <w:rStyle w:val="Hyperlink"/>
            <w:rFonts w:ascii="Times New Roman" w:hAnsi="Times New Roman" w:cs="Times New Roman"/>
            <w:sz w:val="20"/>
            <w:szCs w:val="20"/>
            <w:u w:val="none"/>
          </w:rPr>
          <w:t>metastasis from prostate cancer</w:t>
        </w:r>
        <w:r w:rsidR="00501C1F" w:rsidRPr="000722BE">
          <w:rPr>
            <w:rStyle w:val="Hyperlink"/>
            <w:rFonts w:ascii="Times New Roman" w:hAnsi="Times New Roman" w:cs="Times New Roman"/>
            <w:sz w:val="20"/>
            <w:szCs w:val="20"/>
            <w:u w:val="none"/>
          </w:rPr>
          <w:t>.</w:t>
        </w:r>
        <w:r w:rsidR="00FA359C" w:rsidRPr="000722BE">
          <w:rPr>
            <w:rStyle w:val="Hyperlink"/>
            <w:rFonts w:ascii="Times New Roman" w:hAnsi="Times New Roman" w:cs="Times New Roman"/>
            <w:sz w:val="20"/>
            <w:szCs w:val="20"/>
            <w:u w:val="none"/>
          </w:rPr>
          <w:t xml:space="preserve"> Progres en urologie 14: 554</w:t>
        </w:r>
        <w:r w:rsidR="002C7984" w:rsidRPr="000722BE">
          <w:rPr>
            <w:rStyle w:val="Hyperlink"/>
            <w:rFonts w:ascii="Times New Roman" w:hAnsi="Times New Roman" w:cs="Times New Roman"/>
            <w:sz w:val="20"/>
            <w:szCs w:val="20"/>
            <w:u w:val="none"/>
          </w:rPr>
          <w:t>-5</w:t>
        </w:r>
        <w:r w:rsidR="00FA359C" w:rsidRPr="000722BE">
          <w:rPr>
            <w:rStyle w:val="Hyperlink"/>
            <w:rFonts w:ascii="Times New Roman" w:hAnsi="Times New Roman" w:cs="Times New Roman"/>
            <w:sz w:val="20"/>
            <w:szCs w:val="20"/>
            <w:u w:val="none"/>
          </w:rPr>
          <w:t>57</w:t>
        </w:r>
        <w:r w:rsidR="00501C1F" w:rsidRPr="000722BE">
          <w:rPr>
            <w:rStyle w:val="Hyperlink"/>
            <w:rFonts w:ascii="Times New Roman" w:hAnsi="Times New Roman" w:cs="Times New Roman"/>
            <w:sz w:val="20"/>
            <w:szCs w:val="20"/>
            <w:u w:val="none"/>
          </w:rPr>
          <w:t>.</w:t>
        </w:r>
      </w:hyperlink>
    </w:p>
    <w:p w:rsidR="00092FB4" w:rsidRPr="000722BE" w:rsidRDefault="002272B9" w:rsidP="00625D6E">
      <w:pPr>
        <w:pStyle w:val="ListParagraph"/>
        <w:numPr>
          <w:ilvl w:val="0"/>
          <w:numId w:val="28"/>
        </w:numPr>
        <w:spacing w:after="0" w:line="240" w:lineRule="auto"/>
        <w:mirrorIndents/>
        <w:jc w:val="both"/>
        <w:rPr>
          <w:rFonts w:ascii="Times New Roman" w:hAnsi="Times New Roman" w:cs="Times New Roman"/>
          <w:sz w:val="20"/>
          <w:szCs w:val="20"/>
        </w:rPr>
      </w:pPr>
      <w:hyperlink r:id="rId14" w:history="1">
        <w:r w:rsidR="007A415F" w:rsidRPr="0079578E">
          <w:rPr>
            <w:rStyle w:val="Hyperlink"/>
            <w:rFonts w:ascii="Times New Roman" w:hAnsi="Times New Roman" w:cs="Times New Roman"/>
            <w:sz w:val="20"/>
            <w:szCs w:val="20"/>
            <w:u w:val="none"/>
          </w:rPr>
          <w:t>Butler SS, Vinayak M, Shuang GZ</w:t>
        </w:r>
        <w:r w:rsidR="00501C1F" w:rsidRPr="0079578E">
          <w:rPr>
            <w:rStyle w:val="Hyperlink"/>
            <w:rFonts w:ascii="Times New Roman" w:hAnsi="Times New Roman" w:cs="Times New Roman"/>
            <w:sz w:val="20"/>
            <w:szCs w:val="20"/>
            <w:u w:val="none"/>
          </w:rPr>
          <w:t>, et al.</w:t>
        </w:r>
        <w:r w:rsidR="00DC3B38" w:rsidRPr="0079578E">
          <w:rPr>
            <w:rStyle w:val="Hyperlink"/>
            <w:rFonts w:ascii="Times New Roman" w:hAnsi="Times New Roman" w:cs="Times New Roman"/>
            <w:sz w:val="20"/>
            <w:szCs w:val="20"/>
            <w:u w:val="none"/>
          </w:rPr>
          <w:t xml:space="preserve"> (2020)</w:t>
        </w:r>
        <w:r w:rsidR="001C7432" w:rsidRPr="0079578E">
          <w:rPr>
            <w:rStyle w:val="Hyperlink"/>
            <w:rFonts w:ascii="Times New Roman" w:hAnsi="Times New Roman" w:cs="Times New Roman"/>
            <w:sz w:val="20"/>
            <w:szCs w:val="20"/>
            <w:u w:val="none"/>
          </w:rPr>
          <w:t xml:space="preserve"> </w:t>
        </w:r>
        <w:r w:rsidR="00501C1F" w:rsidRPr="0079578E">
          <w:rPr>
            <w:rStyle w:val="Hyperlink"/>
            <w:rFonts w:ascii="Times New Roman" w:hAnsi="Times New Roman" w:cs="Times New Roman"/>
            <w:sz w:val="20"/>
            <w:szCs w:val="20"/>
            <w:u w:val="none"/>
          </w:rPr>
          <w:t>Prostate Cancer Incidence across Stage, NCCN Risk Groups, and Age before and after USPSTF Grade D Recommendations against Prostate-Specific Antigen</w:t>
        </w:r>
        <w:r w:rsidR="001C7432" w:rsidRPr="0079578E">
          <w:rPr>
            <w:rStyle w:val="Hyperlink"/>
            <w:rFonts w:ascii="Times New Roman" w:hAnsi="Times New Roman" w:cs="Times New Roman"/>
            <w:sz w:val="20"/>
            <w:szCs w:val="20"/>
            <w:u w:val="none"/>
          </w:rPr>
          <w:t xml:space="preserve"> Screening in 2012.</w:t>
        </w:r>
        <w:r w:rsidR="00DC3B38" w:rsidRPr="0079578E">
          <w:rPr>
            <w:rStyle w:val="Hyperlink"/>
            <w:rFonts w:ascii="Times New Roman" w:hAnsi="Times New Roman" w:cs="Times New Roman"/>
            <w:sz w:val="20"/>
            <w:szCs w:val="20"/>
            <w:u w:val="none"/>
          </w:rPr>
          <w:t xml:space="preserve"> Cancer 15: 717-724</w:t>
        </w:r>
        <w:r w:rsidR="00501C1F" w:rsidRPr="0079578E">
          <w:rPr>
            <w:rStyle w:val="Hyperlink"/>
            <w:rFonts w:ascii="Times New Roman" w:hAnsi="Times New Roman" w:cs="Times New Roman"/>
            <w:sz w:val="20"/>
            <w:szCs w:val="20"/>
            <w:u w:val="none"/>
          </w:rPr>
          <w:t>.</w:t>
        </w:r>
      </w:hyperlink>
    </w:p>
    <w:sectPr w:rsidR="00092FB4" w:rsidRPr="000722BE" w:rsidSect="00DE45D5">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2B9" w:rsidRDefault="002272B9" w:rsidP="00E5175D">
      <w:r>
        <w:separator/>
      </w:r>
    </w:p>
  </w:endnote>
  <w:endnote w:type="continuationSeparator" w:id="0">
    <w:p w:rsidR="002272B9" w:rsidRDefault="002272B9" w:rsidP="00E51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2B9" w:rsidRDefault="002272B9" w:rsidP="00E5175D">
      <w:r>
        <w:separator/>
      </w:r>
    </w:p>
  </w:footnote>
  <w:footnote w:type="continuationSeparator" w:id="0">
    <w:p w:rsidR="002272B9" w:rsidRDefault="002272B9" w:rsidP="00E51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FB" w:rsidRPr="007406B7" w:rsidRDefault="001B5AFB" w:rsidP="005F7020">
    <w:pPr>
      <w:tabs>
        <w:tab w:val="left" w:pos="7426"/>
      </w:tabs>
      <w:contextualSpacing/>
      <w:mirrorIndents/>
      <w:jc w:val="both"/>
      <w:rPr>
        <w:sz w:val="20"/>
        <w:szCs w:val="20"/>
      </w:rPr>
    </w:pPr>
    <w:r w:rsidRPr="007406B7">
      <w:rPr>
        <w:noProof/>
        <w:sz w:val="20"/>
        <w:szCs w:val="20"/>
      </w:rPr>
      <w:drawing>
        <wp:anchor distT="0" distB="0" distL="114300" distR="114300" simplePos="0" relativeHeight="251659264" behindDoc="0" locked="0" layoutInCell="1" allowOverlap="1" wp14:anchorId="4FA1CCD3" wp14:editId="0D3BA0B5">
          <wp:simplePos x="0" y="0"/>
          <wp:positionH relativeFrom="column">
            <wp:posOffset>196850</wp:posOffset>
          </wp:positionH>
          <wp:positionV relativeFrom="paragraph">
            <wp:posOffset>25400</wp:posOffset>
          </wp:positionV>
          <wp:extent cx="982345" cy="797560"/>
          <wp:effectExtent l="0" t="0" r="825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97560"/>
                  </a:xfrm>
                  <a:prstGeom prst="rect">
                    <a:avLst/>
                  </a:prstGeom>
                </pic:spPr>
              </pic:pic>
            </a:graphicData>
          </a:graphic>
        </wp:anchor>
      </w:drawing>
    </w:r>
  </w:p>
  <w:p w:rsidR="001B5AFB" w:rsidRPr="003D497A" w:rsidRDefault="001B5AFB" w:rsidP="005F7020">
    <w:pPr>
      <w:tabs>
        <w:tab w:val="left" w:pos="7426"/>
      </w:tabs>
      <w:contextualSpacing/>
      <w:mirrorIndents/>
      <w:jc w:val="both"/>
      <w:rPr>
        <w:sz w:val="22"/>
        <w:szCs w:val="22"/>
      </w:rPr>
    </w:pPr>
    <w:r w:rsidRPr="003D497A">
      <w:rPr>
        <w:sz w:val="22"/>
        <w:szCs w:val="22"/>
      </w:rPr>
      <w:t>Columbus Publishers</w:t>
    </w:r>
  </w:p>
  <w:p w:rsidR="001B5AFB" w:rsidRPr="003D497A" w:rsidRDefault="001B5AFB" w:rsidP="005F7020">
    <w:pPr>
      <w:tabs>
        <w:tab w:val="left" w:pos="7426"/>
      </w:tabs>
      <w:contextualSpacing/>
      <w:mirrorIndents/>
      <w:jc w:val="both"/>
      <w:rPr>
        <w:sz w:val="22"/>
        <w:szCs w:val="22"/>
      </w:rPr>
    </w:pPr>
    <w:r w:rsidRPr="003D497A">
      <w:rPr>
        <w:sz w:val="22"/>
        <w:szCs w:val="22"/>
      </w:rPr>
      <w:t>Columbus Journal of Case Reports</w:t>
    </w:r>
  </w:p>
  <w:p w:rsidR="001B5AFB" w:rsidRPr="003D497A" w:rsidRDefault="001B5AFB" w:rsidP="005F7020">
    <w:pPr>
      <w:contextualSpacing/>
      <w:mirrorIndents/>
      <w:jc w:val="both"/>
      <w:rPr>
        <w:sz w:val="22"/>
        <w:szCs w:val="22"/>
      </w:rPr>
    </w:pPr>
    <w:r w:rsidRPr="003D497A">
      <w:rPr>
        <w:sz w:val="22"/>
        <w:szCs w:val="22"/>
      </w:rPr>
      <w:t>Volume 02: Issue 02</w:t>
    </w:r>
  </w:p>
  <w:p w:rsidR="005F7020" w:rsidRDefault="007406B7" w:rsidP="005F7020">
    <w:pPr>
      <w:contextualSpacing/>
      <w:mirrorIndents/>
      <w:jc w:val="both"/>
      <w:rPr>
        <w:sz w:val="20"/>
        <w:szCs w:val="20"/>
      </w:rPr>
    </w:pPr>
    <w:r w:rsidRPr="003D497A">
      <w:rPr>
        <w:sz w:val="22"/>
        <w:szCs w:val="22"/>
      </w:rPr>
      <w:t>Sharma H and Macri E</w:t>
    </w:r>
    <w:r w:rsidR="001B5AFB" w:rsidRPr="003D497A">
      <w:rPr>
        <w:sz w:val="22"/>
        <w:szCs w:val="22"/>
      </w:rPr>
      <w:t>, et al.</w:t>
    </w:r>
    <w:r w:rsidR="005F7020">
      <w:rPr>
        <w:sz w:val="20"/>
        <w:szCs w:val="20"/>
      </w:rPr>
      <w:t xml:space="preserve"> </w:t>
    </w:r>
  </w:p>
  <w:p w:rsidR="00437240" w:rsidRPr="007406B7" w:rsidRDefault="00437240" w:rsidP="005F7020">
    <w:pPr>
      <w:contextualSpacing/>
      <w:mirrorIndents/>
      <w:jc w:val="both"/>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D28"/>
    <w:multiLevelType w:val="hybridMultilevel"/>
    <w:tmpl w:val="1CA2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D4366"/>
    <w:multiLevelType w:val="hybridMultilevel"/>
    <w:tmpl w:val="C67C3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F0064"/>
    <w:multiLevelType w:val="multilevel"/>
    <w:tmpl w:val="20F8277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51E7E79"/>
    <w:multiLevelType w:val="hybridMultilevel"/>
    <w:tmpl w:val="69F2D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EB6E39"/>
    <w:multiLevelType w:val="multilevel"/>
    <w:tmpl w:val="20F8277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A8300DE"/>
    <w:multiLevelType w:val="hybridMultilevel"/>
    <w:tmpl w:val="02D8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179FD"/>
    <w:multiLevelType w:val="hybridMultilevel"/>
    <w:tmpl w:val="AF2EEA2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BA2E34"/>
    <w:multiLevelType w:val="hybridMultilevel"/>
    <w:tmpl w:val="B998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31DCC"/>
    <w:multiLevelType w:val="multilevel"/>
    <w:tmpl w:val="B538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D50D8"/>
    <w:multiLevelType w:val="hybridMultilevel"/>
    <w:tmpl w:val="5804E4C0"/>
    <w:lvl w:ilvl="0" w:tplc="2DDA8D0C">
      <w:start w:val="1"/>
      <w:numFmt w:val="decimal"/>
      <w:lvlText w:val="(%1)"/>
      <w:lvlJc w:val="left"/>
      <w:pPr>
        <w:tabs>
          <w:tab w:val="num" w:pos="360"/>
        </w:tabs>
        <w:ind w:left="360" w:hanging="360"/>
      </w:pPr>
      <w:rPr>
        <w:rFonts w:asciiTheme="minorHAnsi" w:eastAsiaTheme="minorHAnsi" w:hAnsiTheme="minorHAnsi" w:cstheme="minorBidi"/>
      </w:rPr>
    </w:lvl>
    <w:lvl w:ilvl="1" w:tplc="BFDAAFDE" w:tentative="1">
      <w:start w:val="1"/>
      <w:numFmt w:val="decimal"/>
      <w:lvlText w:val="%2."/>
      <w:lvlJc w:val="left"/>
      <w:pPr>
        <w:tabs>
          <w:tab w:val="num" w:pos="1080"/>
        </w:tabs>
        <w:ind w:left="1080" w:hanging="360"/>
      </w:pPr>
    </w:lvl>
    <w:lvl w:ilvl="2" w:tplc="66BA7A7E" w:tentative="1">
      <w:start w:val="1"/>
      <w:numFmt w:val="decimal"/>
      <w:lvlText w:val="%3."/>
      <w:lvlJc w:val="left"/>
      <w:pPr>
        <w:tabs>
          <w:tab w:val="num" w:pos="1800"/>
        </w:tabs>
        <w:ind w:left="1800" w:hanging="360"/>
      </w:pPr>
    </w:lvl>
    <w:lvl w:ilvl="3" w:tplc="9D960384" w:tentative="1">
      <w:start w:val="1"/>
      <w:numFmt w:val="decimal"/>
      <w:lvlText w:val="%4."/>
      <w:lvlJc w:val="left"/>
      <w:pPr>
        <w:tabs>
          <w:tab w:val="num" w:pos="2520"/>
        </w:tabs>
        <w:ind w:left="2520" w:hanging="360"/>
      </w:pPr>
    </w:lvl>
    <w:lvl w:ilvl="4" w:tplc="4BAA5008" w:tentative="1">
      <w:start w:val="1"/>
      <w:numFmt w:val="decimal"/>
      <w:lvlText w:val="%5."/>
      <w:lvlJc w:val="left"/>
      <w:pPr>
        <w:tabs>
          <w:tab w:val="num" w:pos="3240"/>
        </w:tabs>
        <w:ind w:left="3240" w:hanging="360"/>
      </w:pPr>
    </w:lvl>
    <w:lvl w:ilvl="5" w:tplc="A6A0B782" w:tentative="1">
      <w:start w:val="1"/>
      <w:numFmt w:val="decimal"/>
      <w:lvlText w:val="%6."/>
      <w:lvlJc w:val="left"/>
      <w:pPr>
        <w:tabs>
          <w:tab w:val="num" w:pos="3960"/>
        </w:tabs>
        <w:ind w:left="3960" w:hanging="360"/>
      </w:pPr>
    </w:lvl>
    <w:lvl w:ilvl="6" w:tplc="9E72F852" w:tentative="1">
      <w:start w:val="1"/>
      <w:numFmt w:val="decimal"/>
      <w:lvlText w:val="%7."/>
      <w:lvlJc w:val="left"/>
      <w:pPr>
        <w:tabs>
          <w:tab w:val="num" w:pos="4680"/>
        </w:tabs>
        <w:ind w:left="4680" w:hanging="360"/>
      </w:pPr>
    </w:lvl>
    <w:lvl w:ilvl="7" w:tplc="03CA9B4E" w:tentative="1">
      <w:start w:val="1"/>
      <w:numFmt w:val="decimal"/>
      <w:lvlText w:val="%8."/>
      <w:lvlJc w:val="left"/>
      <w:pPr>
        <w:tabs>
          <w:tab w:val="num" w:pos="5400"/>
        </w:tabs>
        <w:ind w:left="5400" w:hanging="360"/>
      </w:pPr>
    </w:lvl>
    <w:lvl w:ilvl="8" w:tplc="A42A4CD8" w:tentative="1">
      <w:start w:val="1"/>
      <w:numFmt w:val="decimal"/>
      <w:lvlText w:val="%9."/>
      <w:lvlJc w:val="left"/>
      <w:pPr>
        <w:tabs>
          <w:tab w:val="num" w:pos="6120"/>
        </w:tabs>
        <w:ind w:left="6120" w:hanging="360"/>
      </w:pPr>
    </w:lvl>
  </w:abstractNum>
  <w:abstractNum w:abstractNumId="10" w15:restartNumberingAfterBreak="0">
    <w:nsid w:val="27B21764"/>
    <w:multiLevelType w:val="hybridMultilevel"/>
    <w:tmpl w:val="B998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D3F18"/>
    <w:multiLevelType w:val="hybridMultilevel"/>
    <w:tmpl w:val="B8F640B2"/>
    <w:lvl w:ilvl="0" w:tplc="38C8A258">
      <w:start w:val="1"/>
      <w:numFmt w:val="decimal"/>
      <w:lvlText w:val="%1."/>
      <w:lvlJc w:val="left"/>
      <w:pPr>
        <w:ind w:left="360" w:hanging="360"/>
      </w:pPr>
      <w:rPr>
        <w:rFonts w:ascii="Times New Roman" w:hAnsi="Times New Roman"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70608"/>
    <w:multiLevelType w:val="hybridMultilevel"/>
    <w:tmpl w:val="3BEE98E4"/>
    <w:lvl w:ilvl="0" w:tplc="E12E4E6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D40DC6"/>
    <w:multiLevelType w:val="hybridMultilevel"/>
    <w:tmpl w:val="8B1AE0EA"/>
    <w:lvl w:ilvl="0" w:tplc="EF484C0A">
      <w:start w:val="1"/>
      <w:numFmt w:val="lowerLetter"/>
      <w:lvlText w:val="%1)"/>
      <w:lvlJc w:val="left"/>
      <w:pPr>
        <w:ind w:left="492" w:hanging="360"/>
      </w:pPr>
      <w:rPr>
        <w:rFonts w:hint="default"/>
        <w:b w:val="0"/>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14" w15:restartNumberingAfterBreak="0">
    <w:nsid w:val="2BF767BD"/>
    <w:multiLevelType w:val="hybridMultilevel"/>
    <w:tmpl w:val="FE328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D3692"/>
    <w:multiLevelType w:val="hybridMultilevel"/>
    <w:tmpl w:val="71E04054"/>
    <w:lvl w:ilvl="0" w:tplc="2982EA86">
      <w:start w:val="1"/>
      <w:numFmt w:val="decimal"/>
      <w:lvlText w:val="(%1)"/>
      <w:lvlJc w:val="left"/>
      <w:pPr>
        <w:ind w:left="260" w:hanging="399"/>
      </w:pPr>
      <w:rPr>
        <w:rFonts w:ascii="Times New Roman" w:eastAsia="Times New Roman" w:hAnsi="Times New Roman" w:cs="Times New Roman" w:hint="default"/>
        <w:spacing w:val="-30"/>
        <w:w w:val="100"/>
        <w:sz w:val="24"/>
        <w:szCs w:val="24"/>
        <w:lang w:val="en-US" w:eastAsia="en-US" w:bidi="ar-SA"/>
      </w:rPr>
    </w:lvl>
    <w:lvl w:ilvl="1" w:tplc="A22CEC62">
      <w:numFmt w:val="bullet"/>
      <w:lvlText w:val="•"/>
      <w:lvlJc w:val="left"/>
      <w:pPr>
        <w:ind w:left="1194" w:hanging="399"/>
      </w:pPr>
      <w:rPr>
        <w:rFonts w:hint="default"/>
        <w:lang w:val="en-US" w:eastAsia="en-US" w:bidi="ar-SA"/>
      </w:rPr>
    </w:lvl>
    <w:lvl w:ilvl="2" w:tplc="2D86E268">
      <w:numFmt w:val="bullet"/>
      <w:lvlText w:val="•"/>
      <w:lvlJc w:val="left"/>
      <w:pPr>
        <w:ind w:left="2128" w:hanging="399"/>
      </w:pPr>
      <w:rPr>
        <w:rFonts w:hint="default"/>
        <w:lang w:val="en-US" w:eastAsia="en-US" w:bidi="ar-SA"/>
      </w:rPr>
    </w:lvl>
    <w:lvl w:ilvl="3" w:tplc="67A463E4">
      <w:numFmt w:val="bullet"/>
      <w:lvlText w:val="•"/>
      <w:lvlJc w:val="left"/>
      <w:pPr>
        <w:ind w:left="3062" w:hanging="399"/>
      </w:pPr>
      <w:rPr>
        <w:rFonts w:hint="default"/>
        <w:lang w:val="en-US" w:eastAsia="en-US" w:bidi="ar-SA"/>
      </w:rPr>
    </w:lvl>
    <w:lvl w:ilvl="4" w:tplc="8780D764">
      <w:numFmt w:val="bullet"/>
      <w:lvlText w:val="•"/>
      <w:lvlJc w:val="left"/>
      <w:pPr>
        <w:ind w:left="3996" w:hanging="399"/>
      </w:pPr>
      <w:rPr>
        <w:rFonts w:hint="default"/>
        <w:lang w:val="en-US" w:eastAsia="en-US" w:bidi="ar-SA"/>
      </w:rPr>
    </w:lvl>
    <w:lvl w:ilvl="5" w:tplc="B2806DD6">
      <w:numFmt w:val="bullet"/>
      <w:lvlText w:val="•"/>
      <w:lvlJc w:val="left"/>
      <w:pPr>
        <w:ind w:left="4930" w:hanging="399"/>
      </w:pPr>
      <w:rPr>
        <w:rFonts w:hint="default"/>
        <w:lang w:val="en-US" w:eastAsia="en-US" w:bidi="ar-SA"/>
      </w:rPr>
    </w:lvl>
    <w:lvl w:ilvl="6" w:tplc="1242AD26">
      <w:numFmt w:val="bullet"/>
      <w:lvlText w:val="•"/>
      <w:lvlJc w:val="left"/>
      <w:pPr>
        <w:ind w:left="5864" w:hanging="399"/>
      </w:pPr>
      <w:rPr>
        <w:rFonts w:hint="default"/>
        <w:lang w:val="en-US" w:eastAsia="en-US" w:bidi="ar-SA"/>
      </w:rPr>
    </w:lvl>
    <w:lvl w:ilvl="7" w:tplc="3CAC2480">
      <w:numFmt w:val="bullet"/>
      <w:lvlText w:val="•"/>
      <w:lvlJc w:val="left"/>
      <w:pPr>
        <w:ind w:left="6798" w:hanging="399"/>
      </w:pPr>
      <w:rPr>
        <w:rFonts w:hint="default"/>
        <w:lang w:val="en-US" w:eastAsia="en-US" w:bidi="ar-SA"/>
      </w:rPr>
    </w:lvl>
    <w:lvl w:ilvl="8" w:tplc="8820B0F8">
      <w:numFmt w:val="bullet"/>
      <w:lvlText w:val="•"/>
      <w:lvlJc w:val="left"/>
      <w:pPr>
        <w:ind w:left="7732" w:hanging="399"/>
      </w:pPr>
      <w:rPr>
        <w:rFonts w:hint="default"/>
        <w:lang w:val="en-US" w:eastAsia="en-US" w:bidi="ar-SA"/>
      </w:rPr>
    </w:lvl>
  </w:abstractNum>
  <w:abstractNum w:abstractNumId="16" w15:restartNumberingAfterBreak="0">
    <w:nsid w:val="3FB37B91"/>
    <w:multiLevelType w:val="hybridMultilevel"/>
    <w:tmpl w:val="782C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15C63"/>
    <w:multiLevelType w:val="hybridMultilevel"/>
    <w:tmpl w:val="72E2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316821"/>
    <w:multiLevelType w:val="hybridMultilevel"/>
    <w:tmpl w:val="0E8C8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74320"/>
    <w:multiLevelType w:val="hybridMultilevel"/>
    <w:tmpl w:val="C734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213DC"/>
    <w:multiLevelType w:val="hybridMultilevel"/>
    <w:tmpl w:val="363855DA"/>
    <w:lvl w:ilvl="0" w:tplc="289068BC">
      <w:start w:val="1"/>
      <w:numFmt w:val="bullet"/>
      <w:lvlText w:val=""/>
      <w:lvlJc w:val="left"/>
      <w:pPr>
        <w:tabs>
          <w:tab w:val="num" w:pos="720"/>
        </w:tabs>
        <w:ind w:left="720" w:hanging="360"/>
      </w:pPr>
      <w:rPr>
        <w:rFonts w:ascii="Wingdings 2" w:hAnsi="Wingdings 2" w:hint="default"/>
      </w:rPr>
    </w:lvl>
    <w:lvl w:ilvl="1" w:tplc="570CDBF6" w:tentative="1">
      <w:start w:val="1"/>
      <w:numFmt w:val="bullet"/>
      <w:lvlText w:val=""/>
      <w:lvlJc w:val="left"/>
      <w:pPr>
        <w:tabs>
          <w:tab w:val="num" w:pos="1440"/>
        </w:tabs>
        <w:ind w:left="1440" w:hanging="360"/>
      </w:pPr>
      <w:rPr>
        <w:rFonts w:ascii="Wingdings 2" w:hAnsi="Wingdings 2" w:hint="default"/>
      </w:rPr>
    </w:lvl>
    <w:lvl w:ilvl="2" w:tplc="208E65B8" w:tentative="1">
      <w:start w:val="1"/>
      <w:numFmt w:val="bullet"/>
      <w:lvlText w:val=""/>
      <w:lvlJc w:val="left"/>
      <w:pPr>
        <w:tabs>
          <w:tab w:val="num" w:pos="2160"/>
        </w:tabs>
        <w:ind w:left="2160" w:hanging="360"/>
      </w:pPr>
      <w:rPr>
        <w:rFonts w:ascii="Wingdings 2" w:hAnsi="Wingdings 2" w:hint="default"/>
      </w:rPr>
    </w:lvl>
    <w:lvl w:ilvl="3" w:tplc="98F69748" w:tentative="1">
      <w:start w:val="1"/>
      <w:numFmt w:val="bullet"/>
      <w:lvlText w:val=""/>
      <w:lvlJc w:val="left"/>
      <w:pPr>
        <w:tabs>
          <w:tab w:val="num" w:pos="2880"/>
        </w:tabs>
        <w:ind w:left="2880" w:hanging="360"/>
      </w:pPr>
      <w:rPr>
        <w:rFonts w:ascii="Wingdings 2" w:hAnsi="Wingdings 2" w:hint="default"/>
      </w:rPr>
    </w:lvl>
    <w:lvl w:ilvl="4" w:tplc="2E302C04" w:tentative="1">
      <w:start w:val="1"/>
      <w:numFmt w:val="bullet"/>
      <w:lvlText w:val=""/>
      <w:lvlJc w:val="left"/>
      <w:pPr>
        <w:tabs>
          <w:tab w:val="num" w:pos="3600"/>
        </w:tabs>
        <w:ind w:left="3600" w:hanging="360"/>
      </w:pPr>
      <w:rPr>
        <w:rFonts w:ascii="Wingdings 2" w:hAnsi="Wingdings 2" w:hint="default"/>
      </w:rPr>
    </w:lvl>
    <w:lvl w:ilvl="5" w:tplc="161CAC92" w:tentative="1">
      <w:start w:val="1"/>
      <w:numFmt w:val="bullet"/>
      <w:lvlText w:val=""/>
      <w:lvlJc w:val="left"/>
      <w:pPr>
        <w:tabs>
          <w:tab w:val="num" w:pos="4320"/>
        </w:tabs>
        <w:ind w:left="4320" w:hanging="360"/>
      </w:pPr>
      <w:rPr>
        <w:rFonts w:ascii="Wingdings 2" w:hAnsi="Wingdings 2" w:hint="default"/>
      </w:rPr>
    </w:lvl>
    <w:lvl w:ilvl="6" w:tplc="CB62E546" w:tentative="1">
      <w:start w:val="1"/>
      <w:numFmt w:val="bullet"/>
      <w:lvlText w:val=""/>
      <w:lvlJc w:val="left"/>
      <w:pPr>
        <w:tabs>
          <w:tab w:val="num" w:pos="5040"/>
        </w:tabs>
        <w:ind w:left="5040" w:hanging="360"/>
      </w:pPr>
      <w:rPr>
        <w:rFonts w:ascii="Wingdings 2" w:hAnsi="Wingdings 2" w:hint="default"/>
      </w:rPr>
    </w:lvl>
    <w:lvl w:ilvl="7" w:tplc="4BB6F02E" w:tentative="1">
      <w:start w:val="1"/>
      <w:numFmt w:val="bullet"/>
      <w:lvlText w:val=""/>
      <w:lvlJc w:val="left"/>
      <w:pPr>
        <w:tabs>
          <w:tab w:val="num" w:pos="5760"/>
        </w:tabs>
        <w:ind w:left="5760" w:hanging="360"/>
      </w:pPr>
      <w:rPr>
        <w:rFonts w:ascii="Wingdings 2" w:hAnsi="Wingdings 2" w:hint="default"/>
      </w:rPr>
    </w:lvl>
    <w:lvl w:ilvl="8" w:tplc="C3BC7C2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2415355"/>
    <w:multiLevelType w:val="hybridMultilevel"/>
    <w:tmpl w:val="47E4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A6DF7"/>
    <w:multiLevelType w:val="hybridMultilevel"/>
    <w:tmpl w:val="E998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0F4BB7"/>
    <w:multiLevelType w:val="hybridMultilevel"/>
    <w:tmpl w:val="C60E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23AFD"/>
    <w:multiLevelType w:val="hybridMultilevel"/>
    <w:tmpl w:val="EB4C84C2"/>
    <w:lvl w:ilvl="0" w:tplc="F1B435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BD341F"/>
    <w:multiLevelType w:val="hybridMultilevel"/>
    <w:tmpl w:val="843C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370A22"/>
    <w:multiLevelType w:val="multilevel"/>
    <w:tmpl w:val="20F8277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3BA0A2C"/>
    <w:multiLevelType w:val="hybridMultilevel"/>
    <w:tmpl w:val="ED4E6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20"/>
  </w:num>
  <w:num w:numId="5">
    <w:abstractNumId w:val="27"/>
  </w:num>
  <w:num w:numId="6">
    <w:abstractNumId w:val="2"/>
  </w:num>
  <w:num w:numId="7">
    <w:abstractNumId w:val="4"/>
  </w:num>
  <w:num w:numId="8">
    <w:abstractNumId w:val="26"/>
  </w:num>
  <w:num w:numId="9">
    <w:abstractNumId w:val="8"/>
  </w:num>
  <w:num w:numId="10">
    <w:abstractNumId w:val="23"/>
  </w:num>
  <w:num w:numId="11">
    <w:abstractNumId w:val="18"/>
  </w:num>
  <w:num w:numId="12">
    <w:abstractNumId w:val="16"/>
  </w:num>
  <w:num w:numId="13">
    <w:abstractNumId w:val="22"/>
  </w:num>
  <w:num w:numId="14">
    <w:abstractNumId w:val="21"/>
  </w:num>
  <w:num w:numId="15">
    <w:abstractNumId w:val="19"/>
  </w:num>
  <w:num w:numId="16">
    <w:abstractNumId w:val="0"/>
  </w:num>
  <w:num w:numId="17">
    <w:abstractNumId w:val="25"/>
  </w:num>
  <w:num w:numId="18">
    <w:abstractNumId w:val="5"/>
  </w:num>
  <w:num w:numId="19">
    <w:abstractNumId w:val="15"/>
  </w:num>
  <w:num w:numId="20">
    <w:abstractNumId w:val="14"/>
  </w:num>
  <w:num w:numId="21">
    <w:abstractNumId w:val="3"/>
  </w:num>
  <w:num w:numId="22">
    <w:abstractNumId w:val="24"/>
  </w:num>
  <w:num w:numId="23">
    <w:abstractNumId w:val="13"/>
  </w:num>
  <w:num w:numId="24">
    <w:abstractNumId w:val="9"/>
  </w:num>
  <w:num w:numId="25">
    <w:abstractNumId w:val="17"/>
  </w:num>
  <w:num w:numId="26">
    <w:abstractNumId w:val="1"/>
  </w:num>
  <w:num w:numId="27">
    <w:abstractNumId w:val="1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E5B"/>
    <w:rsid w:val="00002821"/>
    <w:rsid w:val="00005978"/>
    <w:rsid w:val="000221C0"/>
    <w:rsid w:val="0002336B"/>
    <w:rsid w:val="00024984"/>
    <w:rsid w:val="00025AC0"/>
    <w:rsid w:val="000327D8"/>
    <w:rsid w:val="00040767"/>
    <w:rsid w:val="00046745"/>
    <w:rsid w:val="000516FC"/>
    <w:rsid w:val="00065786"/>
    <w:rsid w:val="000666C6"/>
    <w:rsid w:val="000722BE"/>
    <w:rsid w:val="000803B8"/>
    <w:rsid w:val="00085223"/>
    <w:rsid w:val="00092FB4"/>
    <w:rsid w:val="00093E90"/>
    <w:rsid w:val="000A4796"/>
    <w:rsid w:val="000A66F4"/>
    <w:rsid w:val="000B47CA"/>
    <w:rsid w:val="000C3FC6"/>
    <w:rsid w:val="000C4B99"/>
    <w:rsid w:val="000D57B5"/>
    <w:rsid w:val="00103979"/>
    <w:rsid w:val="00104D81"/>
    <w:rsid w:val="00131A4D"/>
    <w:rsid w:val="00140F3C"/>
    <w:rsid w:val="00154A65"/>
    <w:rsid w:val="00156979"/>
    <w:rsid w:val="0016581C"/>
    <w:rsid w:val="00166D39"/>
    <w:rsid w:val="0017231B"/>
    <w:rsid w:val="00185B69"/>
    <w:rsid w:val="001929DC"/>
    <w:rsid w:val="00196EA4"/>
    <w:rsid w:val="001B098C"/>
    <w:rsid w:val="001B3505"/>
    <w:rsid w:val="001B5AFB"/>
    <w:rsid w:val="001C35FA"/>
    <w:rsid w:val="001C7432"/>
    <w:rsid w:val="001E21C7"/>
    <w:rsid w:val="001E29E0"/>
    <w:rsid w:val="001F0D37"/>
    <w:rsid w:val="002103F0"/>
    <w:rsid w:val="00214C86"/>
    <w:rsid w:val="0022114E"/>
    <w:rsid w:val="002272B9"/>
    <w:rsid w:val="00247E06"/>
    <w:rsid w:val="00262538"/>
    <w:rsid w:val="00273515"/>
    <w:rsid w:val="002765C5"/>
    <w:rsid w:val="00281929"/>
    <w:rsid w:val="002833E4"/>
    <w:rsid w:val="0029578E"/>
    <w:rsid w:val="00295ECB"/>
    <w:rsid w:val="00296F22"/>
    <w:rsid w:val="002A054C"/>
    <w:rsid w:val="002A61D3"/>
    <w:rsid w:val="002B4987"/>
    <w:rsid w:val="002C0E58"/>
    <w:rsid w:val="002C7984"/>
    <w:rsid w:val="002E19FC"/>
    <w:rsid w:val="00300454"/>
    <w:rsid w:val="00303471"/>
    <w:rsid w:val="00310D3E"/>
    <w:rsid w:val="00310E7D"/>
    <w:rsid w:val="0031791A"/>
    <w:rsid w:val="003221A2"/>
    <w:rsid w:val="003221EA"/>
    <w:rsid w:val="00327BB8"/>
    <w:rsid w:val="00351671"/>
    <w:rsid w:val="0035250A"/>
    <w:rsid w:val="003635F0"/>
    <w:rsid w:val="00366CCB"/>
    <w:rsid w:val="003741D4"/>
    <w:rsid w:val="0038687C"/>
    <w:rsid w:val="003A43B0"/>
    <w:rsid w:val="003C3AD7"/>
    <w:rsid w:val="003D1EC4"/>
    <w:rsid w:val="003D2D9C"/>
    <w:rsid w:val="003D497A"/>
    <w:rsid w:val="003D7303"/>
    <w:rsid w:val="003E5A20"/>
    <w:rsid w:val="003F3F68"/>
    <w:rsid w:val="0040464F"/>
    <w:rsid w:val="00414419"/>
    <w:rsid w:val="004173FD"/>
    <w:rsid w:val="00420A24"/>
    <w:rsid w:val="00427CCB"/>
    <w:rsid w:val="00435016"/>
    <w:rsid w:val="00437240"/>
    <w:rsid w:val="00466CF3"/>
    <w:rsid w:val="0047441E"/>
    <w:rsid w:val="00476574"/>
    <w:rsid w:val="004771F5"/>
    <w:rsid w:val="00485FAB"/>
    <w:rsid w:val="004865D0"/>
    <w:rsid w:val="00487834"/>
    <w:rsid w:val="00487C3A"/>
    <w:rsid w:val="004B0E1D"/>
    <w:rsid w:val="004C3CC0"/>
    <w:rsid w:val="004C3E51"/>
    <w:rsid w:val="004C7BC6"/>
    <w:rsid w:val="004D4D2C"/>
    <w:rsid w:val="00501C1F"/>
    <w:rsid w:val="00503DAD"/>
    <w:rsid w:val="00514016"/>
    <w:rsid w:val="00537E5B"/>
    <w:rsid w:val="0057056A"/>
    <w:rsid w:val="005711BB"/>
    <w:rsid w:val="00576306"/>
    <w:rsid w:val="00586F9D"/>
    <w:rsid w:val="00593882"/>
    <w:rsid w:val="005A22D5"/>
    <w:rsid w:val="005B3A43"/>
    <w:rsid w:val="005B6DE6"/>
    <w:rsid w:val="005D3BEF"/>
    <w:rsid w:val="005D62D1"/>
    <w:rsid w:val="005E23BA"/>
    <w:rsid w:val="005E571A"/>
    <w:rsid w:val="005F1F56"/>
    <w:rsid w:val="005F5F79"/>
    <w:rsid w:val="005F7020"/>
    <w:rsid w:val="006246D0"/>
    <w:rsid w:val="006326C9"/>
    <w:rsid w:val="00640908"/>
    <w:rsid w:val="00645965"/>
    <w:rsid w:val="00646277"/>
    <w:rsid w:val="00650003"/>
    <w:rsid w:val="0066023D"/>
    <w:rsid w:val="006629F9"/>
    <w:rsid w:val="006668FB"/>
    <w:rsid w:val="006712D6"/>
    <w:rsid w:val="006724EC"/>
    <w:rsid w:val="00675C5E"/>
    <w:rsid w:val="00684C67"/>
    <w:rsid w:val="00692D83"/>
    <w:rsid w:val="006A25B1"/>
    <w:rsid w:val="006A4F25"/>
    <w:rsid w:val="006D5E65"/>
    <w:rsid w:val="006E74B1"/>
    <w:rsid w:val="006F2954"/>
    <w:rsid w:val="006F45A2"/>
    <w:rsid w:val="006F4CD8"/>
    <w:rsid w:val="00704B6C"/>
    <w:rsid w:val="00711632"/>
    <w:rsid w:val="00717CAC"/>
    <w:rsid w:val="0073298C"/>
    <w:rsid w:val="007355C2"/>
    <w:rsid w:val="007406B7"/>
    <w:rsid w:val="007479B9"/>
    <w:rsid w:val="0075373F"/>
    <w:rsid w:val="007560EF"/>
    <w:rsid w:val="00760492"/>
    <w:rsid w:val="0076580E"/>
    <w:rsid w:val="007677BA"/>
    <w:rsid w:val="00776E80"/>
    <w:rsid w:val="0078048D"/>
    <w:rsid w:val="00786932"/>
    <w:rsid w:val="0079578E"/>
    <w:rsid w:val="007A415F"/>
    <w:rsid w:val="007B06D8"/>
    <w:rsid w:val="007B2F80"/>
    <w:rsid w:val="007B60D4"/>
    <w:rsid w:val="007B72F2"/>
    <w:rsid w:val="007C1812"/>
    <w:rsid w:val="007C631D"/>
    <w:rsid w:val="007C796F"/>
    <w:rsid w:val="007D1530"/>
    <w:rsid w:val="007E2667"/>
    <w:rsid w:val="007E4400"/>
    <w:rsid w:val="0081505F"/>
    <w:rsid w:val="008209FD"/>
    <w:rsid w:val="00821312"/>
    <w:rsid w:val="00832BD3"/>
    <w:rsid w:val="00846F4D"/>
    <w:rsid w:val="00847270"/>
    <w:rsid w:val="00865847"/>
    <w:rsid w:val="008719B1"/>
    <w:rsid w:val="00883579"/>
    <w:rsid w:val="00897096"/>
    <w:rsid w:val="00897A6E"/>
    <w:rsid w:val="008A0136"/>
    <w:rsid w:val="008B3282"/>
    <w:rsid w:val="008D5DF2"/>
    <w:rsid w:val="008E1374"/>
    <w:rsid w:val="008E1FF1"/>
    <w:rsid w:val="008F0AB2"/>
    <w:rsid w:val="00903879"/>
    <w:rsid w:val="00906A87"/>
    <w:rsid w:val="0092161B"/>
    <w:rsid w:val="009236CC"/>
    <w:rsid w:val="0092696A"/>
    <w:rsid w:val="0094326D"/>
    <w:rsid w:val="009577BE"/>
    <w:rsid w:val="00966321"/>
    <w:rsid w:val="009B0C99"/>
    <w:rsid w:val="009C5721"/>
    <w:rsid w:val="009E26E0"/>
    <w:rsid w:val="009E741D"/>
    <w:rsid w:val="009E7DBC"/>
    <w:rsid w:val="00A11805"/>
    <w:rsid w:val="00A14EA6"/>
    <w:rsid w:val="00A1687B"/>
    <w:rsid w:val="00A17891"/>
    <w:rsid w:val="00A24023"/>
    <w:rsid w:val="00A615C9"/>
    <w:rsid w:val="00A70389"/>
    <w:rsid w:val="00A72FB9"/>
    <w:rsid w:val="00A77829"/>
    <w:rsid w:val="00A87F00"/>
    <w:rsid w:val="00AC2E96"/>
    <w:rsid w:val="00B01B62"/>
    <w:rsid w:val="00B03E12"/>
    <w:rsid w:val="00B33E3B"/>
    <w:rsid w:val="00B427DB"/>
    <w:rsid w:val="00B47595"/>
    <w:rsid w:val="00B524EE"/>
    <w:rsid w:val="00B82A7C"/>
    <w:rsid w:val="00B8672E"/>
    <w:rsid w:val="00B86C8A"/>
    <w:rsid w:val="00BA5BE7"/>
    <w:rsid w:val="00BB5A6B"/>
    <w:rsid w:val="00C13DF6"/>
    <w:rsid w:val="00C22B7F"/>
    <w:rsid w:val="00C23A79"/>
    <w:rsid w:val="00C26BCC"/>
    <w:rsid w:val="00C335F8"/>
    <w:rsid w:val="00C367B3"/>
    <w:rsid w:val="00C50309"/>
    <w:rsid w:val="00C5372D"/>
    <w:rsid w:val="00C53801"/>
    <w:rsid w:val="00C53F04"/>
    <w:rsid w:val="00C546D2"/>
    <w:rsid w:val="00C626CA"/>
    <w:rsid w:val="00C62E49"/>
    <w:rsid w:val="00C84133"/>
    <w:rsid w:val="00C90E36"/>
    <w:rsid w:val="00C9227E"/>
    <w:rsid w:val="00C94AD0"/>
    <w:rsid w:val="00C972C1"/>
    <w:rsid w:val="00CA1017"/>
    <w:rsid w:val="00CA12F1"/>
    <w:rsid w:val="00CA3DDF"/>
    <w:rsid w:val="00CB7576"/>
    <w:rsid w:val="00CC0BD8"/>
    <w:rsid w:val="00CD0731"/>
    <w:rsid w:val="00CD5597"/>
    <w:rsid w:val="00CE60D6"/>
    <w:rsid w:val="00CF519D"/>
    <w:rsid w:val="00D037D5"/>
    <w:rsid w:val="00D052D9"/>
    <w:rsid w:val="00D07083"/>
    <w:rsid w:val="00D36258"/>
    <w:rsid w:val="00D52D52"/>
    <w:rsid w:val="00D932CF"/>
    <w:rsid w:val="00D93931"/>
    <w:rsid w:val="00DA0E5B"/>
    <w:rsid w:val="00DA203A"/>
    <w:rsid w:val="00DB6931"/>
    <w:rsid w:val="00DC3B38"/>
    <w:rsid w:val="00DC5918"/>
    <w:rsid w:val="00DD657E"/>
    <w:rsid w:val="00DE45D5"/>
    <w:rsid w:val="00DE5948"/>
    <w:rsid w:val="00E12511"/>
    <w:rsid w:val="00E20738"/>
    <w:rsid w:val="00E5175D"/>
    <w:rsid w:val="00E53F26"/>
    <w:rsid w:val="00E64003"/>
    <w:rsid w:val="00E710DD"/>
    <w:rsid w:val="00EA3BF2"/>
    <w:rsid w:val="00EA7DB9"/>
    <w:rsid w:val="00EB6BE7"/>
    <w:rsid w:val="00EC4205"/>
    <w:rsid w:val="00EE1072"/>
    <w:rsid w:val="00EE1D00"/>
    <w:rsid w:val="00EF25FD"/>
    <w:rsid w:val="00F20469"/>
    <w:rsid w:val="00F24AA4"/>
    <w:rsid w:val="00F251C2"/>
    <w:rsid w:val="00F25BD5"/>
    <w:rsid w:val="00F33908"/>
    <w:rsid w:val="00F34759"/>
    <w:rsid w:val="00F43014"/>
    <w:rsid w:val="00F57118"/>
    <w:rsid w:val="00F61B19"/>
    <w:rsid w:val="00F674A6"/>
    <w:rsid w:val="00F81D14"/>
    <w:rsid w:val="00F950B6"/>
    <w:rsid w:val="00FA0BB2"/>
    <w:rsid w:val="00FA21A3"/>
    <w:rsid w:val="00FA359C"/>
    <w:rsid w:val="00FA6F51"/>
    <w:rsid w:val="00FB4FBF"/>
    <w:rsid w:val="00FC6C99"/>
    <w:rsid w:val="00FE3B67"/>
    <w:rsid w:val="00FF0385"/>
    <w:rsid w:val="00FF1804"/>
    <w:rsid w:val="00FF3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A8E74"/>
  <w15:chartTrackingRefBased/>
  <w15:docId w15:val="{163B6A5A-0838-4D12-8AC5-F9932D44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9E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3D7303"/>
    <w:pPr>
      <w:widowControl w:val="0"/>
      <w:autoSpaceDE w:val="0"/>
      <w:autoSpaceDN w:val="0"/>
      <w:ind w:left="260"/>
      <w:outlineLvl w:val="0"/>
    </w:pPr>
    <w:rPr>
      <w:b/>
      <w:bCs/>
      <w:sz w:val="28"/>
      <w:szCs w:val="28"/>
    </w:rPr>
  </w:style>
  <w:style w:type="paragraph" w:styleId="Heading3">
    <w:name w:val="heading 3"/>
    <w:basedOn w:val="Normal"/>
    <w:next w:val="Normal"/>
    <w:link w:val="Heading3Char"/>
    <w:uiPriority w:val="9"/>
    <w:semiHidden/>
    <w:unhideWhenUsed/>
    <w:qFormat/>
    <w:rsid w:val="00F81D1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9E0"/>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1E29E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E29E0"/>
  </w:style>
  <w:style w:type="character" w:styleId="CommentReference">
    <w:name w:val="annotation reference"/>
    <w:basedOn w:val="DefaultParagraphFont"/>
    <w:uiPriority w:val="99"/>
    <w:semiHidden/>
    <w:unhideWhenUsed/>
    <w:rsid w:val="001E29E0"/>
    <w:rPr>
      <w:sz w:val="16"/>
      <w:szCs w:val="16"/>
    </w:rPr>
  </w:style>
  <w:style w:type="paragraph" w:styleId="CommentText">
    <w:name w:val="annotation text"/>
    <w:basedOn w:val="Normal"/>
    <w:link w:val="CommentTextChar"/>
    <w:uiPriority w:val="99"/>
    <w:unhideWhenUsed/>
    <w:rsid w:val="001E29E0"/>
    <w:rPr>
      <w:sz w:val="20"/>
      <w:szCs w:val="20"/>
    </w:rPr>
  </w:style>
  <w:style w:type="character" w:customStyle="1" w:styleId="CommentTextChar">
    <w:name w:val="Comment Text Char"/>
    <w:basedOn w:val="DefaultParagraphFont"/>
    <w:link w:val="CommentText"/>
    <w:uiPriority w:val="99"/>
    <w:rsid w:val="001E29E0"/>
    <w:rPr>
      <w:rFonts w:ascii="Times New Roman" w:eastAsia="Times New Roman" w:hAnsi="Times New Roman" w:cs="Times New Roman"/>
      <w:sz w:val="20"/>
      <w:szCs w:val="20"/>
    </w:rPr>
  </w:style>
  <w:style w:type="table" w:customStyle="1" w:styleId="TableGrid1">
    <w:name w:val="Table Grid1"/>
    <w:basedOn w:val="TableNormal"/>
    <w:next w:val="TableGrid"/>
    <w:uiPriority w:val="39"/>
    <w:rsid w:val="001E29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29E0"/>
    <w:rPr>
      <w:color w:val="0000FF" w:themeColor="hyperlink"/>
      <w:u w:val="single"/>
    </w:rPr>
  </w:style>
  <w:style w:type="table" w:styleId="TableGrid">
    <w:name w:val="Table Grid"/>
    <w:basedOn w:val="TableNormal"/>
    <w:uiPriority w:val="59"/>
    <w:rsid w:val="001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9E0"/>
    <w:rPr>
      <w:rFonts w:ascii="Segoe UI" w:eastAsia="Times New Roman" w:hAnsi="Segoe UI" w:cs="Segoe UI"/>
      <w:sz w:val="18"/>
      <w:szCs w:val="18"/>
    </w:rPr>
  </w:style>
  <w:style w:type="paragraph" w:styleId="Footer">
    <w:name w:val="footer"/>
    <w:basedOn w:val="Normal"/>
    <w:link w:val="FooterChar"/>
    <w:uiPriority w:val="99"/>
    <w:unhideWhenUsed/>
    <w:rsid w:val="00E5175D"/>
    <w:pPr>
      <w:tabs>
        <w:tab w:val="center" w:pos="4680"/>
        <w:tab w:val="right" w:pos="9360"/>
      </w:tabs>
    </w:pPr>
  </w:style>
  <w:style w:type="character" w:customStyle="1" w:styleId="FooterChar">
    <w:name w:val="Footer Char"/>
    <w:basedOn w:val="DefaultParagraphFont"/>
    <w:link w:val="Footer"/>
    <w:uiPriority w:val="99"/>
    <w:rsid w:val="00E5175D"/>
    <w:rPr>
      <w:rFonts w:ascii="Times New Roman" w:eastAsia="Times New Roman" w:hAnsi="Times New Roman" w:cs="Times New Roman"/>
      <w:sz w:val="24"/>
      <w:szCs w:val="24"/>
    </w:rPr>
  </w:style>
  <w:style w:type="paragraph" w:styleId="NormalWeb">
    <w:name w:val="Normal (Web)"/>
    <w:basedOn w:val="Normal"/>
    <w:uiPriority w:val="99"/>
    <w:unhideWhenUsed/>
    <w:rsid w:val="00645965"/>
    <w:rPr>
      <w:rFonts w:eastAsiaTheme="minorHAnsi"/>
    </w:rPr>
  </w:style>
  <w:style w:type="character" w:styleId="PageNumber">
    <w:name w:val="page number"/>
    <w:basedOn w:val="DefaultParagraphFont"/>
    <w:uiPriority w:val="99"/>
    <w:semiHidden/>
    <w:unhideWhenUsed/>
    <w:rsid w:val="000B47CA"/>
  </w:style>
  <w:style w:type="character" w:customStyle="1" w:styleId="apple-converted-space">
    <w:name w:val="apple-converted-space"/>
    <w:basedOn w:val="DefaultParagraphFont"/>
    <w:rsid w:val="000B47CA"/>
  </w:style>
  <w:style w:type="character" w:styleId="Strong">
    <w:name w:val="Strong"/>
    <w:basedOn w:val="DefaultParagraphFont"/>
    <w:uiPriority w:val="22"/>
    <w:qFormat/>
    <w:rsid w:val="000B47CA"/>
    <w:rPr>
      <w:b/>
      <w:bCs/>
    </w:rPr>
  </w:style>
  <w:style w:type="character" w:customStyle="1" w:styleId="UnresolvedMention1">
    <w:name w:val="Unresolved Mention1"/>
    <w:basedOn w:val="DefaultParagraphFont"/>
    <w:uiPriority w:val="99"/>
    <w:semiHidden/>
    <w:unhideWhenUsed/>
    <w:rsid w:val="000B47CA"/>
    <w:rPr>
      <w:color w:val="605E5C"/>
      <w:shd w:val="clear" w:color="auto" w:fill="E1DFDD"/>
    </w:rPr>
  </w:style>
  <w:style w:type="character" w:styleId="FollowedHyperlink">
    <w:name w:val="FollowedHyperlink"/>
    <w:basedOn w:val="DefaultParagraphFont"/>
    <w:uiPriority w:val="99"/>
    <w:semiHidden/>
    <w:unhideWhenUsed/>
    <w:rsid w:val="000B47CA"/>
    <w:rPr>
      <w:color w:val="800080" w:themeColor="followedHyperlink"/>
      <w:u w:val="single"/>
    </w:rPr>
  </w:style>
  <w:style w:type="paragraph" w:customStyle="1" w:styleId="xmsonormal">
    <w:name w:val="x_msonormal"/>
    <w:basedOn w:val="Normal"/>
    <w:rsid w:val="000B47CA"/>
    <w:pPr>
      <w:spacing w:before="100" w:beforeAutospacing="1" w:after="100" w:afterAutospacing="1"/>
    </w:pPr>
  </w:style>
  <w:style w:type="character" w:customStyle="1" w:styleId="UnresolvedMention">
    <w:name w:val="Unresolved Mention"/>
    <w:basedOn w:val="DefaultParagraphFont"/>
    <w:uiPriority w:val="99"/>
    <w:semiHidden/>
    <w:unhideWhenUsed/>
    <w:rsid w:val="000B47C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B47C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B47CA"/>
    <w:rPr>
      <w:rFonts w:ascii="Times New Roman" w:eastAsiaTheme="minorEastAsia" w:hAnsi="Times New Roman" w:cs="Times New Roman"/>
      <w:b/>
      <w:bCs/>
      <w:sz w:val="20"/>
      <w:szCs w:val="20"/>
    </w:rPr>
  </w:style>
  <w:style w:type="paragraph" w:customStyle="1" w:styleId="xmsolistparagraph">
    <w:name w:val="x_msolistparagraph"/>
    <w:basedOn w:val="Normal"/>
    <w:rsid w:val="000B47CA"/>
    <w:pPr>
      <w:spacing w:before="100" w:beforeAutospacing="1" w:after="100" w:afterAutospacing="1"/>
    </w:pPr>
  </w:style>
  <w:style w:type="paragraph" w:customStyle="1" w:styleId="DecimalAligned">
    <w:name w:val="Decimal Aligned"/>
    <w:basedOn w:val="Normal"/>
    <w:uiPriority w:val="40"/>
    <w:qFormat/>
    <w:rsid w:val="000B47CA"/>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0B47CA"/>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0B47CA"/>
    <w:rPr>
      <w:rFonts w:eastAsiaTheme="minorEastAsia" w:cs="Times New Roman"/>
      <w:sz w:val="20"/>
      <w:szCs w:val="20"/>
    </w:rPr>
  </w:style>
  <w:style w:type="character" w:styleId="SubtleEmphasis">
    <w:name w:val="Subtle Emphasis"/>
    <w:basedOn w:val="DefaultParagraphFont"/>
    <w:uiPriority w:val="19"/>
    <w:qFormat/>
    <w:rsid w:val="000B47CA"/>
    <w:rPr>
      <w:i/>
      <w:iCs/>
    </w:rPr>
  </w:style>
  <w:style w:type="table" w:styleId="LightShading-Accent1">
    <w:name w:val="Light Shading Accent 1"/>
    <w:basedOn w:val="TableNormal"/>
    <w:uiPriority w:val="60"/>
    <w:rsid w:val="000B47CA"/>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itation">
    <w:name w:val="citation"/>
    <w:basedOn w:val="Normal"/>
    <w:rsid w:val="000B47CA"/>
    <w:pPr>
      <w:spacing w:before="100" w:beforeAutospacing="1" w:after="100" w:afterAutospacing="1"/>
    </w:pPr>
  </w:style>
  <w:style w:type="character" w:customStyle="1" w:styleId="Heading1Char">
    <w:name w:val="Heading 1 Char"/>
    <w:basedOn w:val="DefaultParagraphFont"/>
    <w:link w:val="Heading1"/>
    <w:uiPriority w:val="1"/>
    <w:rsid w:val="003D7303"/>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D7303"/>
    <w:pPr>
      <w:widowControl w:val="0"/>
      <w:autoSpaceDE w:val="0"/>
      <w:autoSpaceDN w:val="0"/>
    </w:pPr>
  </w:style>
  <w:style w:type="character" w:customStyle="1" w:styleId="BodyTextChar">
    <w:name w:val="Body Text Char"/>
    <w:basedOn w:val="DefaultParagraphFont"/>
    <w:link w:val="BodyText"/>
    <w:uiPriority w:val="1"/>
    <w:rsid w:val="003D7303"/>
    <w:rPr>
      <w:rFonts w:ascii="Times New Roman" w:eastAsia="Times New Roman" w:hAnsi="Times New Roman" w:cs="Times New Roman"/>
      <w:sz w:val="24"/>
      <w:szCs w:val="24"/>
    </w:rPr>
  </w:style>
  <w:style w:type="paragraph" w:styleId="Title">
    <w:name w:val="Title"/>
    <w:basedOn w:val="Normal"/>
    <w:link w:val="TitleChar"/>
    <w:uiPriority w:val="1"/>
    <w:qFormat/>
    <w:rsid w:val="003D7303"/>
    <w:pPr>
      <w:widowControl w:val="0"/>
      <w:autoSpaceDE w:val="0"/>
      <w:autoSpaceDN w:val="0"/>
      <w:spacing w:before="86"/>
      <w:ind w:left="260" w:right="270"/>
    </w:pPr>
    <w:rPr>
      <w:b/>
      <w:bCs/>
      <w:sz w:val="32"/>
      <w:szCs w:val="32"/>
    </w:rPr>
  </w:style>
  <w:style w:type="character" w:customStyle="1" w:styleId="TitleChar">
    <w:name w:val="Title Char"/>
    <w:basedOn w:val="DefaultParagraphFont"/>
    <w:link w:val="Title"/>
    <w:uiPriority w:val="1"/>
    <w:rsid w:val="003D7303"/>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3D7303"/>
    <w:pPr>
      <w:widowControl w:val="0"/>
      <w:autoSpaceDE w:val="0"/>
      <w:autoSpaceDN w:val="0"/>
      <w:ind w:left="842"/>
    </w:pPr>
    <w:rPr>
      <w:sz w:val="22"/>
      <w:szCs w:val="22"/>
    </w:rPr>
  </w:style>
  <w:style w:type="paragraph" w:styleId="BodyTextIndent2">
    <w:name w:val="Body Text Indent 2"/>
    <w:basedOn w:val="Normal"/>
    <w:link w:val="BodyTextIndent2Char"/>
    <w:uiPriority w:val="99"/>
    <w:semiHidden/>
    <w:unhideWhenUsed/>
    <w:rsid w:val="00F81D14"/>
    <w:pPr>
      <w:spacing w:after="120" w:line="480" w:lineRule="auto"/>
      <w:ind w:left="360"/>
    </w:pPr>
  </w:style>
  <w:style w:type="character" w:customStyle="1" w:styleId="BodyTextIndent2Char">
    <w:name w:val="Body Text Indent 2 Char"/>
    <w:basedOn w:val="DefaultParagraphFont"/>
    <w:link w:val="BodyTextIndent2"/>
    <w:uiPriority w:val="99"/>
    <w:semiHidden/>
    <w:rsid w:val="00F81D14"/>
    <w:rPr>
      <w:rFonts w:ascii="Times New Roman" w:eastAsia="Times New Roman" w:hAnsi="Times New Roman" w:cs="Times New Roman"/>
      <w:sz w:val="24"/>
      <w:szCs w:val="24"/>
    </w:rPr>
  </w:style>
  <w:style w:type="paragraph" w:customStyle="1" w:styleId="Paragrafuscm">
    <w:name w:val="Paragrafuscím"/>
    <w:basedOn w:val="Heading3"/>
    <w:rsid w:val="00F81D14"/>
    <w:pPr>
      <w:keepLines w:val="0"/>
      <w:spacing w:before="0"/>
      <w:jc w:val="center"/>
    </w:pPr>
    <w:rPr>
      <w:rFonts w:ascii="Times New Roman" w:eastAsia="Times New Roman" w:hAnsi="Times New Roman" w:cs="Times New Roman"/>
      <w:b/>
      <w:color w:val="auto"/>
      <w:szCs w:val="20"/>
      <w:lang w:val="hu-HU" w:eastAsia="hu-HU"/>
    </w:rPr>
  </w:style>
  <w:style w:type="character" w:customStyle="1" w:styleId="Szvegtrzs2">
    <w:name w:val="Szövegtörzs (2)_"/>
    <w:link w:val="Szvegtrzs20"/>
    <w:locked/>
    <w:rsid w:val="00F81D14"/>
    <w:rPr>
      <w:shd w:val="clear" w:color="auto" w:fill="FFFFFF"/>
    </w:rPr>
  </w:style>
  <w:style w:type="paragraph" w:customStyle="1" w:styleId="Szvegtrzs20">
    <w:name w:val="Szövegtörzs (2)"/>
    <w:basedOn w:val="Normal"/>
    <w:link w:val="Szvegtrzs2"/>
    <w:rsid w:val="00F81D14"/>
    <w:pPr>
      <w:widowControl w:val="0"/>
      <w:shd w:val="clear" w:color="auto" w:fill="FFFFFF"/>
      <w:spacing w:before="3240" w:line="235" w:lineRule="exact"/>
      <w:jc w:val="both"/>
    </w:pPr>
    <w:rPr>
      <w:rFonts w:asciiTheme="minorHAnsi" w:eastAsiaTheme="minorHAnsi" w:hAnsiTheme="minorHAnsi" w:cstheme="minorBidi"/>
      <w:sz w:val="22"/>
      <w:szCs w:val="22"/>
      <w:shd w:val="clear" w:color="auto" w:fill="FFFFFF"/>
    </w:rPr>
  </w:style>
  <w:style w:type="character" w:customStyle="1" w:styleId="Szvegtrzs3">
    <w:name w:val="Szövegtörzs (3)_"/>
    <w:link w:val="Szvegtrzs30"/>
    <w:locked/>
    <w:rsid w:val="00F81D14"/>
    <w:rPr>
      <w:shd w:val="clear" w:color="auto" w:fill="FFFFFF"/>
    </w:rPr>
  </w:style>
  <w:style w:type="paragraph" w:customStyle="1" w:styleId="Szvegtrzs30">
    <w:name w:val="Szövegtörzs (3)"/>
    <w:basedOn w:val="Normal"/>
    <w:link w:val="Szvegtrzs3"/>
    <w:rsid w:val="00F81D14"/>
    <w:pPr>
      <w:widowControl w:val="0"/>
      <w:shd w:val="clear" w:color="auto" w:fill="FFFFFF"/>
      <w:spacing w:before="480" w:after="60" w:line="233" w:lineRule="exact"/>
      <w:jc w:val="both"/>
    </w:pPr>
    <w:rPr>
      <w:rFonts w:asciiTheme="minorHAnsi" w:eastAsiaTheme="minorHAnsi" w:hAnsiTheme="minorHAnsi" w:cstheme="minorBidi"/>
      <w:sz w:val="22"/>
      <w:szCs w:val="22"/>
      <w:shd w:val="clear" w:color="auto" w:fill="FFFFFF"/>
    </w:rPr>
  </w:style>
  <w:style w:type="character" w:customStyle="1" w:styleId="Szvegtrzs2Dlt">
    <w:name w:val="Szövegtörzs (2) + Dőlt"/>
    <w:rsid w:val="00F81D14"/>
    <w:rPr>
      <w:rFonts w:ascii="Times New Roman" w:hAnsi="Times New Roman" w:cs="Times New Roman" w:hint="default"/>
      <w:i/>
      <w:iCs/>
      <w:strike w:val="0"/>
      <w:dstrike w:val="0"/>
      <w:color w:val="000000"/>
      <w:spacing w:val="0"/>
      <w:w w:val="100"/>
      <w:position w:val="0"/>
      <w:sz w:val="20"/>
      <w:szCs w:val="20"/>
      <w:u w:val="none"/>
      <w:effect w:val="none"/>
      <w:lang w:val="hu-HU" w:eastAsia="hu-HU"/>
    </w:rPr>
  </w:style>
  <w:style w:type="character" w:customStyle="1" w:styleId="Szvegtrzs3Dlt">
    <w:name w:val="Szövegtörzs (3) + Dőlt"/>
    <w:rsid w:val="00F81D14"/>
    <w:rPr>
      <w:i/>
      <w:iCs/>
      <w:color w:val="000000"/>
      <w:spacing w:val="0"/>
      <w:w w:val="100"/>
      <w:position w:val="0"/>
      <w:lang w:val="hu-HU" w:eastAsia="hu-HU" w:bidi="ar-SA"/>
    </w:rPr>
  </w:style>
  <w:style w:type="character" w:customStyle="1" w:styleId="Szvegtrzs6">
    <w:name w:val="Szövegtörzs (6)_"/>
    <w:basedOn w:val="DefaultParagraphFont"/>
    <w:link w:val="Szvegtrzs60"/>
    <w:locked/>
    <w:rsid w:val="00F81D14"/>
    <w:rPr>
      <w:b/>
      <w:bCs/>
      <w:sz w:val="21"/>
      <w:szCs w:val="21"/>
      <w:shd w:val="clear" w:color="auto" w:fill="FFFFFF"/>
    </w:rPr>
  </w:style>
  <w:style w:type="paragraph" w:customStyle="1" w:styleId="Szvegtrzs60">
    <w:name w:val="Szövegtörzs (6)"/>
    <w:basedOn w:val="Normal"/>
    <w:link w:val="Szvegtrzs6"/>
    <w:rsid w:val="00F81D14"/>
    <w:pPr>
      <w:widowControl w:val="0"/>
      <w:shd w:val="clear" w:color="auto" w:fill="FFFFFF"/>
      <w:spacing w:before="240" w:after="240" w:line="240" w:lineRule="atLeast"/>
      <w:jc w:val="center"/>
    </w:pPr>
    <w:rPr>
      <w:rFonts w:asciiTheme="minorHAnsi" w:eastAsiaTheme="minorHAnsi" w:hAnsiTheme="minorHAnsi" w:cstheme="minorBidi"/>
      <w:b/>
      <w:bCs/>
      <w:sz w:val="21"/>
      <w:szCs w:val="21"/>
    </w:rPr>
  </w:style>
  <w:style w:type="character" w:customStyle="1" w:styleId="Heading3Char">
    <w:name w:val="Heading 3 Char"/>
    <w:basedOn w:val="DefaultParagraphFont"/>
    <w:link w:val="Heading3"/>
    <w:uiPriority w:val="9"/>
    <w:semiHidden/>
    <w:rsid w:val="00F81D14"/>
    <w:rPr>
      <w:rFonts w:asciiTheme="majorHAnsi" w:eastAsiaTheme="majorEastAsia" w:hAnsiTheme="majorHAnsi" w:cstheme="majorBidi"/>
      <w:color w:val="243F60" w:themeColor="accent1" w:themeShade="7F"/>
      <w:sz w:val="24"/>
      <w:szCs w:val="24"/>
    </w:rPr>
  </w:style>
  <w:style w:type="character" w:customStyle="1" w:styleId="A4">
    <w:name w:val="A4"/>
    <w:uiPriority w:val="99"/>
    <w:rsid w:val="002765C5"/>
    <w:rPr>
      <w:color w:val="000000"/>
      <w:sz w:val="20"/>
      <w:szCs w:val="20"/>
    </w:rPr>
  </w:style>
  <w:style w:type="paragraph" w:customStyle="1" w:styleId="Default">
    <w:name w:val="Default"/>
    <w:rsid w:val="002765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92696A"/>
    <w:pPr>
      <w:suppressAutoHyphens/>
      <w:spacing w:after="0"/>
    </w:pPr>
    <w:rPr>
      <w:rFonts w:ascii="Arial" w:eastAsia="Arial" w:hAnsi="Arial" w:cs="Arial"/>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5687">
      <w:bodyDiv w:val="1"/>
      <w:marLeft w:val="0"/>
      <w:marRight w:val="0"/>
      <w:marTop w:val="0"/>
      <w:marBottom w:val="0"/>
      <w:divBdr>
        <w:top w:val="none" w:sz="0" w:space="0" w:color="auto"/>
        <w:left w:val="none" w:sz="0" w:space="0" w:color="auto"/>
        <w:bottom w:val="none" w:sz="0" w:space="0" w:color="auto"/>
        <w:right w:val="none" w:sz="0" w:space="0" w:color="auto"/>
      </w:divBdr>
    </w:div>
    <w:div w:id="129979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manetwork.com/journals/jama/fullarticle/2680553" TargetMode="External"/><Relationship Id="rId13" Type="http://schemas.openxmlformats.org/officeDocument/2006/relationships/hyperlink" Target="https://www.google.com/search?rlz=1C1ONGR_enIN991IN991&amp;sxsrf=APq-WBuajmIviUv-yn9t3YOikKTyIJNwXw:1648724964144&amp;q=Jalali+K,+Denis+C,+Pierre+R,+et+al.+%E2%80%9C%5BSpinal+cord+metastasis+from+prostate+cancer%5D.%E2%80%9D+Progress+in+urology+14:+554%E2%80%9357.&amp;spell=1&amp;sa=X&amp;ved=2ahUKEwjJtseOm_D2AhWGTWwGHfh-C1cQBSgAegQIAhAy&amp;biw=1280&amp;bih=881&amp;dpr=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jol.info/index.php/cajm/article/view/859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todate.com/contents/clinical-presentation-and-diagnosis-of-prostate-cance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csjournals.onlinelibrary.wiley.com/doi/full/10.3322/caac.21590" TargetMode="External"/><Relationship Id="rId4" Type="http://schemas.openxmlformats.org/officeDocument/2006/relationships/webSettings" Target="webSettings.xml"/><Relationship Id="rId9" Type="http://schemas.openxmlformats.org/officeDocument/2006/relationships/hyperlink" Target="https://prostatecanceruk.org/about-us/projects-and-policies/psa-consensus-for-health-professionals" TargetMode="External"/><Relationship Id="rId14" Type="http://schemas.openxmlformats.org/officeDocument/2006/relationships/hyperlink" Target="https://pubmed.ncbi.nlm.nih.gov/317940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3</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Gavin</cp:lastModifiedBy>
  <cp:revision>163</cp:revision>
  <dcterms:created xsi:type="dcterms:W3CDTF">2021-03-27T07:35:00Z</dcterms:created>
  <dcterms:modified xsi:type="dcterms:W3CDTF">2022-03-31T16:26:00Z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223530</vt:lpwstr>
  </property>
  <property fmtid="{D5CDD505-2E9C-101B-9397-08002B2CF9AE}" pid="3" name="NXPowerLiteSettings">
    <vt:lpwstr>C7000400038000</vt:lpwstr>
  </property>
  <property fmtid="{D5CDD505-2E9C-101B-9397-08002B2CF9AE}" pid="4" name="NXPowerLiteVersion">
    <vt:lpwstr>S9.1.2</vt:lpwstr>
  </property>
</Properties>
</file>