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A4B5" w14:textId="77777777" w:rsidR="00944C9F" w:rsidRPr="00DF7603" w:rsidRDefault="00944C9F" w:rsidP="00944C9F">
      <w:pPr>
        <w:contextualSpacing/>
        <w:mirrorIndents/>
        <w:jc w:val="both"/>
        <w:rPr>
          <w:b/>
          <w:sz w:val="22"/>
          <w:szCs w:val="22"/>
        </w:rPr>
      </w:pPr>
      <w:r w:rsidRPr="00DF7603">
        <w:rPr>
          <w:b/>
          <w:sz w:val="22"/>
          <w:szCs w:val="22"/>
        </w:rPr>
        <w:t>Research Article</w:t>
      </w:r>
    </w:p>
    <w:p w14:paraId="6687862C" w14:textId="77777777" w:rsidR="00944C9F" w:rsidRPr="008453C4" w:rsidRDefault="00944C9F" w:rsidP="00944C9F">
      <w:pPr>
        <w:contextualSpacing/>
        <w:mirrorIndents/>
        <w:jc w:val="both"/>
        <w:rPr>
          <w:sz w:val="20"/>
          <w:szCs w:val="20"/>
        </w:rPr>
      </w:pPr>
    </w:p>
    <w:p w14:paraId="311CBF73" w14:textId="77777777" w:rsidR="002537A8" w:rsidRPr="001C4901" w:rsidRDefault="002537A8" w:rsidP="002537A8">
      <w:pPr>
        <w:pStyle w:val="Subtitle"/>
        <w:spacing w:after="0" w:line="240" w:lineRule="auto"/>
        <w:contextualSpacing/>
        <w:mirrorIndents/>
        <w:jc w:val="center"/>
        <w:rPr>
          <w:rFonts w:ascii="Times New Roman" w:hAnsi="Times New Roman" w:cs="Times New Roman"/>
          <w:b/>
          <w:color w:val="auto"/>
        </w:rPr>
      </w:pPr>
      <w:r w:rsidRPr="001C4901">
        <w:rPr>
          <w:rFonts w:ascii="Times New Roman" w:hAnsi="Times New Roman" w:cs="Times New Roman"/>
          <w:b/>
          <w:color w:val="auto"/>
        </w:rPr>
        <w:t xml:space="preserve">The Effect </w:t>
      </w:r>
      <w:r>
        <w:rPr>
          <w:rFonts w:ascii="Times New Roman" w:hAnsi="Times New Roman" w:cs="Times New Roman"/>
          <w:b/>
          <w:color w:val="auto"/>
        </w:rPr>
        <w:t>of a</w:t>
      </w:r>
      <w:r w:rsidRPr="001C4901">
        <w:rPr>
          <w:rFonts w:ascii="Times New Roman" w:hAnsi="Times New Roman" w:cs="Times New Roman"/>
          <w:b/>
          <w:color w:val="auto"/>
        </w:rPr>
        <w:t xml:space="preserve"> Pandemic on Health Sciences Education </w:t>
      </w:r>
      <w:r>
        <w:rPr>
          <w:rFonts w:ascii="Times New Roman" w:hAnsi="Times New Roman" w:cs="Times New Roman"/>
          <w:b/>
          <w:color w:val="auto"/>
        </w:rPr>
        <w:t>around t</w:t>
      </w:r>
      <w:r w:rsidRPr="001C4901">
        <w:rPr>
          <w:rFonts w:ascii="Times New Roman" w:hAnsi="Times New Roman" w:cs="Times New Roman"/>
          <w:b/>
          <w:color w:val="auto"/>
        </w:rPr>
        <w:t xml:space="preserve">he World: Perspectives </w:t>
      </w:r>
      <w:r>
        <w:rPr>
          <w:rFonts w:ascii="Times New Roman" w:hAnsi="Times New Roman" w:cs="Times New Roman"/>
          <w:b/>
          <w:color w:val="auto"/>
        </w:rPr>
        <w:t>f</w:t>
      </w:r>
      <w:r w:rsidRPr="001C4901">
        <w:rPr>
          <w:rFonts w:ascii="Times New Roman" w:hAnsi="Times New Roman" w:cs="Times New Roman"/>
          <w:b/>
          <w:color w:val="auto"/>
        </w:rPr>
        <w:t xml:space="preserve">rom Students Experiencing </w:t>
      </w:r>
      <w:r>
        <w:rPr>
          <w:rFonts w:ascii="Times New Roman" w:hAnsi="Times New Roman" w:cs="Times New Roman"/>
          <w:b/>
          <w:color w:val="auto"/>
        </w:rPr>
        <w:t>t</w:t>
      </w:r>
      <w:r w:rsidRPr="001C4901">
        <w:rPr>
          <w:rFonts w:ascii="Times New Roman" w:hAnsi="Times New Roman" w:cs="Times New Roman"/>
          <w:b/>
          <w:color w:val="auto"/>
        </w:rPr>
        <w:t>he Reality</w:t>
      </w:r>
    </w:p>
    <w:p w14:paraId="60F8FE0A" w14:textId="77777777" w:rsidR="00944C9F" w:rsidRPr="00412D36" w:rsidRDefault="00944C9F" w:rsidP="00944C9F">
      <w:pPr>
        <w:contextualSpacing/>
        <w:mirrorIndents/>
        <w:jc w:val="both"/>
        <w:rPr>
          <w:sz w:val="20"/>
          <w:szCs w:val="20"/>
        </w:rPr>
      </w:pPr>
    </w:p>
    <w:p w14:paraId="4B36BBA5" w14:textId="4A46BFEA" w:rsidR="00944C9F" w:rsidRPr="00412D36" w:rsidRDefault="00772165" w:rsidP="00944C9F">
      <w:pPr>
        <w:contextualSpacing/>
        <w:mirrorIndents/>
        <w:jc w:val="both"/>
        <w:rPr>
          <w:sz w:val="20"/>
          <w:szCs w:val="20"/>
        </w:rPr>
      </w:pPr>
      <w:proofErr w:type="spellStart"/>
      <w:r w:rsidRPr="00772165">
        <w:rPr>
          <w:rFonts w:eastAsia="MS Mincho"/>
          <w:b/>
          <w:color w:val="000000"/>
          <w:sz w:val="20"/>
          <w:szCs w:val="20"/>
          <w:lang w:eastAsia="ja-JP"/>
        </w:rPr>
        <w:t>Veronika</w:t>
      </w:r>
      <w:proofErr w:type="spellEnd"/>
      <w:r w:rsidRPr="00772165">
        <w:rPr>
          <w:rFonts w:eastAsia="MS Mincho"/>
          <w:b/>
          <w:color w:val="000000"/>
          <w:sz w:val="20"/>
          <w:szCs w:val="20"/>
          <w:lang w:eastAsia="ja-JP"/>
        </w:rPr>
        <w:t xml:space="preserve"> </w:t>
      </w:r>
      <w:proofErr w:type="spellStart"/>
      <w:r w:rsidRPr="00772165">
        <w:rPr>
          <w:rFonts w:eastAsia="MS Mincho"/>
          <w:b/>
          <w:color w:val="000000"/>
          <w:sz w:val="20"/>
          <w:szCs w:val="20"/>
          <w:lang w:eastAsia="ja-JP"/>
        </w:rPr>
        <w:t>Duwel</w:t>
      </w:r>
      <w:proofErr w:type="spellEnd"/>
      <w:r w:rsidRPr="00772165">
        <w:rPr>
          <w:rFonts w:eastAsia="MS Mincho"/>
          <w:b/>
          <w:color w:val="000000"/>
          <w:sz w:val="20"/>
          <w:szCs w:val="20"/>
          <w:lang w:eastAsia="ja-JP"/>
        </w:rPr>
        <w:t>, MSc</w:t>
      </w:r>
      <w:r w:rsidR="00B812DD" w:rsidRPr="004011E3">
        <w:rPr>
          <w:rFonts w:eastAsia="MS Mincho"/>
          <w:b/>
          <w:color w:val="FF0000"/>
          <w:sz w:val="20"/>
          <w:szCs w:val="20"/>
          <w:vertAlign w:val="superscript"/>
          <w:lang w:eastAsia="ja-JP"/>
        </w:rPr>
        <w:t>1</w:t>
      </w:r>
      <w:r w:rsidR="00944C9F">
        <w:rPr>
          <w:rFonts w:eastAsia="MS Mincho"/>
          <w:b/>
          <w:color w:val="000000"/>
          <w:sz w:val="20"/>
          <w:szCs w:val="20"/>
          <w:lang w:eastAsia="ja-JP"/>
        </w:rPr>
        <w:t xml:space="preserve">, </w:t>
      </w:r>
      <w:r w:rsidR="001C2BAA" w:rsidRPr="001C2BAA">
        <w:rPr>
          <w:rFonts w:eastAsia="MS Mincho"/>
          <w:b/>
          <w:color w:val="000000"/>
          <w:sz w:val="20"/>
          <w:szCs w:val="20"/>
          <w:lang w:eastAsia="ja-JP"/>
        </w:rPr>
        <w:t xml:space="preserve">Amber Trujillo </w:t>
      </w:r>
      <w:proofErr w:type="spellStart"/>
      <w:r w:rsidR="001C2BAA" w:rsidRPr="001C2BAA">
        <w:rPr>
          <w:rFonts w:eastAsia="MS Mincho"/>
          <w:b/>
          <w:color w:val="000000"/>
          <w:sz w:val="20"/>
          <w:szCs w:val="20"/>
          <w:lang w:eastAsia="ja-JP"/>
        </w:rPr>
        <w:t>Lalla</w:t>
      </w:r>
      <w:proofErr w:type="spellEnd"/>
      <w:r w:rsidR="001C2BAA" w:rsidRPr="001C2BAA">
        <w:rPr>
          <w:rFonts w:eastAsia="MS Mincho"/>
          <w:b/>
          <w:color w:val="000000"/>
          <w:sz w:val="20"/>
          <w:szCs w:val="20"/>
          <w:lang w:eastAsia="ja-JP"/>
        </w:rPr>
        <w:t>, M.S.</w:t>
      </w:r>
      <w:r w:rsidR="004948E4" w:rsidRPr="004A7AE3">
        <w:rPr>
          <w:rFonts w:eastAsia="MS Mincho"/>
          <w:b/>
          <w:color w:val="FF0000"/>
          <w:sz w:val="20"/>
          <w:szCs w:val="20"/>
          <w:vertAlign w:val="superscript"/>
          <w:lang w:eastAsia="ja-JP"/>
        </w:rPr>
        <w:t>2</w:t>
      </w:r>
      <w:r w:rsidR="00944C9F">
        <w:rPr>
          <w:rFonts w:eastAsia="MS Mincho"/>
          <w:b/>
          <w:color w:val="000000"/>
          <w:sz w:val="20"/>
          <w:szCs w:val="20"/>
          <w:lang w:eastAsia="ja-JP"/>
        </w:rPr>
        <w:t xml:space="preserve">, </w:t>
      </w:r>
      <w:r w:rsidR="00811B6C" w:rsidRPr="00811B6C">
        <w:rPr>
          <w:rFonts w:eastAsia="MS Mincho"/>
          <w:b/>
          <w:color w:val="000000"/>
          <w:sz w:val="20"/>
          <w:szCs w:val="20"/>
          <w:lang w:eastAsia="ja-JP"/>
        </w:rPr>
        <w:t>William P. Aragon, M.S.</w:t>
      </w:r>
      <w:r w:rsidR="00597B87" w:rsidRPr="00B149E0">
        <w:rPr>
          <w:rFonts w:eastAsia="MS Mincho"/>
          <w:b/>
          <w:color w:val="FF0000"/>
          <w:sz w:val="20"/>
          <w:szCs w:val="20"/>
          <w:vertAlign w:val="superscript"/>
          <w:lang w:eastAsia="ja-JP"/>
        </w:rPr>
        <w:t>2</w:t>
      </w:r>
      <w:r w:rsidR="00944C9F">
        <w:rPr>
          <w:rFonts w:eastAsia="MS Mincho"/>
          <w:b/>
          <w:color w:val="000000"/>
          <w:sz w:val="20"/>
          <w:szCs w:val="20"/>
          <w:lang w:eastAsia="ja-JP"/>
        </w:rPr>
        <w:t xml:space="preserve">, </w:t>
      </w:r>
      <w:r w:rsidR="006E70A8" w:rsidRPr="006E70A8">
        <w:rPr>
          <w:rFonts w:eastAsia="MS Mincho"/>
          <w:b/>
          <w:color w:val="000000"/>
          <w:sz w:val="20"/>
          <w:szCs w:val="20"/>
          <w:lang w:eastAsia="ja-JP"/>
        </w:rPr>
        <w:t>Danielle Albright, Ph.D.</w:t>
      </w:r>
      <w:r w:rsidR="00271D36" w:rsidRPr="00B149E0">
        <w:rPr>
          <w:rFonts w:eastAsia="MS Mincho"/>
          <w:b/>
          <w:color w:val="FF0000"/>
          <w:sz w:val="20"/>
          <w:szCs w:val="20"/>
          <w:lang w:eastAsia="ja-JP"/>
        </w:rPr>
        <w:t>2</w:t>
      </w:r>
      <w:r w:rsidR="00944C9F">
        <w:rPr>
          <w:rFonts w:eastAsia="MS Mincho"/>
          <w:b/>
          <w:color w:val="000000"/>
          <w:sz w:val="20"/>
          <w:szCs w:val="20"/>
          <w:lang w:eastAsia="ja-JP"/>
        </w:rPr>
        <w:t xml:space="preserve">, </w:t>
      </w:r>
      <w:r w:rsidR="0083492A" w:rsidRPr="0083492A">
        <w:rPr>
          <w:rFonts w:eastAsia="MS Mincho"/>
          <w:b/>
          <w:color w:val="000000"/>
          <w:sz w:val="20"/>
          <w:szCs w:val="20"/>
          <w:lang w:eastAsia="ja-JP"/>
        </w:rPr>
        <w:t xml:space="preserve">Amy </w:t>
      </w:r>
      <w:proofErr w:type="spellStart"/>
      <w:r w:rsidR="0083492A" w:rsidRPr="0083492A">
        <w:rPr>
          <w:rFonts w:eastAsia="MS Mincho"/>
          <w:b/>
          <w:color w:val="000000"/>
          <w:sz w:val="20"/>
          <w:szCs w:val="20"/>
          <w:lang w:eastAsia="ja-JP"/>
        </w:rPr>
        <w:t>Clithero-Eridon</w:t>
      </w:r>
      <w:proofErr w:type="spellEnd"/>
      <w:r w:rsidR="0083492A" w:rsidRPr="0083492A">
        <w:rPr>
          <w:rFonts w:eastAsia="MS Mincho"/>
          <w:b/>
          <w:color w:val="000000"/>
          <w:sz w:val="20"/>
          <w:szCs w:val="20"/>
          <w:lang w:eastAsia="ja-JP"/>
        </w:rPr>
        <w:t>, Ph.D., MBA</w:t>
      </w:r>
      <w:r w:rsidR="00752FED" w:rsidRPr="00B149E0">
        <w:rPr>
          <w:rFonts w:eastAsia="MS Mincho"/>
          <w:b/>
          <w:color w:val="FF0000"/>
          <w:sz w:val="20"/>
          <w:szCs w:val="20"/>
          <w:vertAlign w:val="superscript"/>
          <w:lang w:eastAsia="ja-JP"/>
        </w:rPr>
        <w:t>2</w:t>
      </w:r>
      <w:r w:rsidR="00197E44">
        <w:rPr>
          <w:rFonts w:eastAsia="MS Mincho"/>
          <w:b/>
          <w:color w:val="FF0000"/>
          <w:sz w:val="20"/>
          <w:szCs w:val="20"/>
          <w:vertAlign w:val="superscript"/>
          <w:lang w:eastAsia="ja-JP"/>
        </w:rPr>
        <w:t>#</w:t>
      </w:r>
      <w:bookmarkStart w:id="0" w:name="_GoBack"/>
      <w:bookmarkEnd w:id="0"/>
    </w:p>
    <w:p w14:paraId="0DC98601" w14:textId="77777777" w:rsidR="00944C9F" w:rsidRPr="00412D36" w:rsidRDefault="00944C9F" w:rsidP="00944C9F">
      <w:pPr>
        <w:contextualSpacing/>
        <w:mirrorIndents/>
        <w:jc w:val="both"/>
        <w:rPr>
          <w:sz w:val="20"/>
          <w:szCs w:val="20"/>
        </w:rPr>
      </w:pPr>
    </w:p>
    <w:p w14:paraId="07269EC5" w14:textId="6B118FB9" w:rsidR="00944C9F" w:rsidRDefault="00944C9F" w:rsidP="00944C9F">
      <w:pPr>
        <w:contextualSpacing/>
        <w:mirrorIndents/>
        <w:jc w:val="both"/>
        <w:rPr>
          <w:sz w:val="20"/>
          <w:szCs w:val="20"/>
        </w:rPr>
      </w:pPr>
      <w:r w:rsidRPr="00223BA7">
        <w:rPr>
          <w:color w:val="FF0000"/>
          <w:sz w:val="20"/>
          <w:szCs w:val="20"/>
          <w:vertAlign w:val="superscript"/>
        </w:rPr>
        <w:t>1</w:t>
      </w:r>
      <w:r w:rsidR="00F33922" w:rsidRPr="00F33922">
        <w:rPr>
          <w:sz w:val="20"/>
          <w:szCs w:val="20"/>
        </w:rPr>
        <w:t>Maastricht University</w:t>
      </w:r>
      <w:r w:rsidR="00EE1E97">
        <w:rPr>
          <w:sz w:val="20"/>
          <w:szCs w:val="20"/>
        </w:rPr>
        <w:t xml:space="preserve">, </w:t>
      </w:r>
      <w:r w:rsidR="00EE1E97" w:rsidRPr="00EE1E97">
        <w:rPr>
          <w:sz w:val="20"/>
          <w:szCs w:val="20"/>
        </w:rPr>
        <w:t>Maastricht</w:t>
      </w:r>
      <w:r w:rsidR="005E14EC">
        <w:rPr>
          <w:sz w:val="20"/>
          <w:szCs w:val="20"/>
        </w:rPr>
        <w:t xml:space="preserve">, </w:t>
      </w:r>
      <w:r w:rsidR="00843025" w:rsidRPr="00843025">
        <w:rPr>
          <w:sz w:val="20"/>
          <w:szCs w:val="20"/>
        </w:rPr>
        <w:t>Netherlands</w:t>
      </w:r>
    </w:p>
    <w:p w14:paraId="72150501" w14:textId="0681CCA9" w:rsidR="00944C9F" w:rsidRDefault="00944C9F" w:rsidP="00944C9F">
      <w:pPr>
        <w:contextualSpacing/>
        <w:mirrorIndents/>
        <w:jc w:val="both"/>
        <w:rPr>
          <w:sz w:val="20"/>
          <w:szCs w:val="20"/>
        </w:rPr>
      </w:pPr>
      <w:r w:rsidRPr="00223BA7">
        <w:rPr>
          <w:color w:val="FF0000"/>
          <w:sz w:val="20"/>
          <w:szCs w:val="20"/>
          <w:vertAlign w:val="superscript"/>
        </w:rPr>
        <w:t>2</w:t>
      </w:r>
      <w:r w:rsidR="003E79B3" w:rsidRPr="003E79B3">
        <w:rPr>
          <w:sz w:val="20"/>
          <w:szCs w:val="20"/>
        </w:rPr>
        <w:t>University of New Mexico School of Medicine</w:t>
      </w:r>
      <w:r w:rsidR="00487D7B">
        <w:rPr>
          <w:sz w:val="20"/>
          <w:szCs w:val="20"/>
        </w:rPr>
        <w:t xml:space="preserve">, </w:t>
      </w:r>
      <w:r w:rsidR="00D23425" w:rsidRPr="00D23425">
        <w:rPr>
          <w:sz w:val="20"/>
          <w:szCs w:val="20"/>
        </w:rPr>
        <w:t>New Mexico</w:t>
      </w:r>
      <w:r w:rsidR="00D23425">
        <w:rPr>
          <w:sz w:val="20"/>
          <w:szCs w:val="20"/>
        </w:rPr>
        <w:t>, USA</w:t>
      </w:r>
    </w:p>
    <w:p w14:paraId="3C951B01" w14:textId="77777777" w:rsidR="00D23425" w:rsidRPr="006A1B61" w:rsidRDefault="00D23425" w:rsidP="00944C9F">
      <w:pPr>
        <w:contextualSpacing/>
        <w:mirrorIndents/>
        <w:jc w:val="both"/>
        <w:rPr>
          <w:sz w:val="20"/>
          <w:szCs w:val="20"/>
        </w:rPr>
      </w:pPr>
    </w:p>
    <w:p w14:paraId="35C1FBC9" w14:textId="7BD573DB" w:rsidR="00944C9F" w:rsidRDefault="00944C9F" w:rsidP="00944C9F">
      <w:pPr>
        <w:contextualSpacing/>
        <w:mirrorIndents/>
        <w:jc w:val="both"/>
        <w:rPr>
          <w:sz w:val="20"/>
          <w:szCs w:val="20"/>
        </w:rPr>
      </w:pPr>
      <w:r w:rsidRPr="008453C4">
        <w:rPr>
          <w:b/>
          <w:color w:val="FF0000"/>
          <w:sz w:val="20"/>
          <w:szCs w:val="20"/>
          <w:vertAlign w:val="superscript"/>
        </w:rPr>
        <w:t>#</w:t>
      </w:r>
      <w:r w:rsidRPr="008453C4">
        <w:rPr>
          <w:b/>
          <w:sz w:val="20"/>
          <w:szCs w:val="20"/>
        </w:rPr>
        <w:t>Corresponding author</w:t>
      </w:r>
      <w:r>
        <w:rPr>
          <w:b/>
          <w:sz w:val="20"/>
          <w:szCs w:val="20"/>
        </w:rPr>
        <w:t>s</w:t>
      </w:r>
      <w:r w:rsidRPr="008453C4">
        <w:rPr>
          <w:b/>
          <w:sz w:val="20"/>
          <w:szCs w:val="20"/>
        </w:rPr>
        <w:t xml:space="preserve">: </w:t>
      </w:r>
      <w:r w:rsidR="00E41722">
        <w:rPr>
          <w:sz w:val="20"/>
          <w:szCs w:val="20"/>
        </w:rPr>
        <w:t xml:space="preserve">Amy </w:t>
      </w:r>
      <w:proofErr w:type="spellStart"/>
      <w:r w:rsidR="00E41722">
        <w:rPr>
          <w:sz w:val="20"/>
          <w:szCs w:val="20"/>
        </w:rPr>
        <w:t>Clithero-Eridon</w:t>
      </w:r>
      <w:proofErr w:type="spellEnd"/>
      <w:r w:rsidR="00E41722">
        <w:rPr>
          <w:sz w:val="20"/>
          <w:szCs w:val="20"/>
        </w:rPr>
        <w:t xml:space="preserve">, Ph.D., </w:t>
      </w:r>
      <w:r w:rsidR="00F5182B" w:rsidRPr="00F5182B">
        <w:rPr>
          <w:sz w:val="20"/>
          <w:szCs w:val="20"/>
        </w:rPr>
        <w:t>Senior Lecturer</w:t>
      </w:r>
      <w:r w:rsidR="00F5182B">
        <w:rPr>
          <w:sz w:val="20"/>
          <w:szCs w:val="20"/>
        </w:rPr>
        <w:t xml:space="preserve">, </w:t>
      </w:r>
      <w:r w:rsidR="009054D3" w:rsidRPr="009054D3">
        <w:rPr>
          <w:sz w:val="20"/>
          <w:szCs w:val="20"/>
        </w:rPr>
        <w:t>Department of Family &amp; Community Medicine</w:t>
      </w:r>
      <w:r w:rsidR="006F2EC4">
        <w:rPr>
          <w:sz w:val="20"/>
          <w:szCs w:val="20"/>
        </w:rPr>
        <w:t xml:space="preserve">, </w:t>
      </w:r>
      <w:r w:rsidR="00210CAE" w:rsidRPr="00210CAE">
        <w:rPr>
          <w:sz w:val="20"/>
          <w:szCs w:val="20"/>
        </w:rPr>
        <w:t>University of New Mexico School of Medicine</w:t>
      </w:r>
      <w:r w:rsidR="00E3325F">
        <w:rPr>
          <w:sz w:val="20"/>
          <w:szCs w:val="20"/>
        </w:rPr>
        <w:t xml:space="preserve">, </w:t>
      </w:r>
      <w:r w:rsidR="00E32149" w:rsidRPr="00E32149">
        <w:rPr>
          <w:sz w:val="20"/>
          <w:szCs w:val="20"/>
        </w:rPr>
        <w:t xml:space="preserve">2501 Frontier Ave NE, Albuquerque, </w:t>
      </w:r>
      <w:r w:rsidR="00F033F5" w:rsidRPr="00D23425">
        <w:rPr>
          <w:sz w:val="20"/>
          <w:szCs w:val="20"/>
        </w:rPr>
        <w:t>New Mexico</w:t>
      </w:r>
      <w:r w:rsidR="00F033F5">
        <w:rPr>
          <w:sz w:val="20"/>
          <w:szCs w:val="20"/>
        </w:rPr>
        <w:t xml:space="preserve"> </w:t>
      </w:r>
      <w:r w:rsidR="00E32149" w:rsidRPr="00E32149">
        <w:rPr>
          <w:sz w:val="20"/>
          <w:szCs w:val="20"/>
        </w:rPr>
        <w:t>87106, USA</w:t>
      </w:r>
    </w:p>
    <w:p w14:paraId="76913BED" w14:textId="77777777" w:rsidR="00F5182B" w:rsidRPr="008453C4" w:rsidRDefault="00F5182B" w:rsidP="00944C9F">
      <w:pPr>
        <w:contextualSpacing/>
        <w:mirrorIndents/>
        <w:jc w:val="both"/>
        <w:rPr>
          <w:sz w:val="20"/>
          <w:szCs w:val="20"/>
        </w:rPr>
      </w:pPr>
    </w:p>
    <w:p w14:paraId="6DE514C0" w14:textId="1FAF6595" w:rsidR="00944C9F" w:rsidRDefault="00944C9F" w:rsidP="00944C9F">
      <w:pPr>
        <w:contextualSpacing/>
        <w:mirrorIndents/>
        <w:jc w:val="both"/>
        <w:rPr>
          <w:sz w:val="20"/>
          <w:szCs w:val="20"/>
        </w:rPr>
      </w:pPr>
      <w:r w:rsidRPr="008453C4">
        <w:rPr>
          <w:b/>
          <w:sz w:val="20"/>
          <w:szCs w:val="20"/>
        </w:rPr>
        <w:t>How to cite this article:</w:t>
      </w:r>
      <w:r w:rsidRPr="008453C4">
        <w:rPr>
          <w:sz w:val="20"/>
          <w:szCs w:val="20"/>
        </w:rPr>
        <w:t xml:space="preserve"> </w:t>
      </w:r>
      <w:proofErr w:type="spellStart"/>
      <w:r w:rsidR="001F46AC">
        <w:rPr>
          <w:sz w:val="20"/>
          <w:szCs w:val="20"/>
        </w:rPr>
        <w:t>Duwel</w:t>
      </w:r>
      <w:proofErr w:type="spellEnd"/>
      <w:r w:rsidR="001F46AC">
        <w:rPr>
          <w:sz w:val="20"/>
          <w:szCs w:val="20"/>
        </w:rPr>
        <w:t xml:space="preserve"> V,</w:t>
      </w:r>
      <w:r w:rsidR="00707A3E">
        <w:rPr>
          <w:sz w:val="20"/>
          <w:szCs w:val="20"/>
        </w:rPr>
        <w:t xml:space="preserve"> </w:t>
      </w:r>
      <w:r w:rsidR="00B31065">
        <w:rPr>
          <w:sz w:val="20"/>
          <w:szCs w:val="20"/>
        </w:rPr>
        <w:t xml:space="preserve">Trujillo </w:t>
      </w:r>
      <w:proofErr w:type="spellStart"/>
      <w:r w:rsidR="00B31065">
        <w:rPr>
          <w:sz w:val="20"/>
          <w:szCs w:val="20"/>
        </w:rPr>
        <w:t>Lalla</w:t>
      </w:r>
      <w:proofErr w:type="spellEnd"/>
      <w:r w:rsidR="00B31065">
        <w:rPr>
          <w:sz w:val="20"/>
          <w:szCs w:val="20"/>
        </w:rPr>
        <w:t xml:space="preserve"> AT</w:t>
      </w:r>
      <w:r w:rsidR="00707A3E" w:rsidRPr="00707A3E">
        <w:rPr>
          <w:sz w:val="20"/>
          <w:szCs w:val="20"/>
        </w:rPr>
        <w:t xml:space="preserve">, </w:t>
      </w:r>
      <w:proofErr w:type="gramStart"/>
      <w:r w:rsidR="00707A3E" w:rsidRPr="00707A3E">
        <w:rPr>
          <w:sz w:val="20"/>
          <w:szCs w:val="20"/>
        </w:rPr>
        <w:t>Aragon</w:t>
      </w:r>
      <w:proofErr w:type="gramEnd"/>
      <w:r w:rsidR="001D16F9">
        <w:rPr>
          <w:sz w:val="20"/>
          <w:szCs w:val="20"/>
        </w:rPr>
        <w:t xml:space="preserve"> WP</w:t>
      </w:r>
      <w:r w:rsidR="00707A3E">
        <w:rPr>
          <w:sz w:val="20"/>
          <w:szCs w:val="20"/>
        </w:rPr>
        <w:t>, et al.</w:t>
      </w:r>
      <w:r w:rsidR="001F46AC">
        <w:rPr>
          <w:sz w:val="20"/>
          <w:szCs w:val="20"/>
        </w:rPr>
        <w:t xml:space="preserve"> </w:t>
      </w:r>
      <w:r w:rsidRPr="008453C4">
        <w:rPr>
          <w:sz w:val="20"/>
          <w:szCs w:val="20"/>
        </w:rPr>
        <w:t xml:space="preserve">(2021) </w:t>
      </w:r>
      <w:r w:rsidR="00B8717E" w:rsidRPr="00B8717E">
        <w:rPr>
          <w:sz w:val="20"/>
          <w:szCs w:val="20"/>
        </w:rPr>
        <w:t>The Effect of a Pandemic on Health Sciences Education around the World: Perspectives from Students Experiencing the Reality</w:t>
      </w:r>
      <w:r w:rsidRPr="008453C4">
        <w:rPr>
          <w:sz w:val="20"/>
          <w:szCs w:val="20"/>
        </w:rPr>
        <w:t xml:space="preserve">. </w:t>
      </w:r>
      <w:proofErr w:type="spellStart"/>
      <w:r w:rsidRPr="008453C4">
        <w:rPr>
          <w:sz w:val="20"/>
          <w:szCs w:val="20"/>
        </w:rPr>
        <w:t>Int</w:t>
      </w:r>
      <w:proofErr w:type="spellEnd"/>
      <w:r w:rsidRPr="008453C4">
        <w:rPr>
          <w:sz w:val="20"/>
          <w:szCs w:val="20"/>
        </w:rPr>
        <w:t xml:space="preserve"> J </w:t>
      </w:r>
      <w:proofErr w:type="spellStart"/>
      <w:r>
        <w:rPr>
          <w:sz w:val="20"/>
          <w:szCs w:val="20"/>
        </w:rPr>
        <w:t>Comm</w:t>
      </w:r>
      <w:proofErr w:type="spellEnd"/>
      <w:r>
        <w:rPr>
          <w:sz w:val="20"/>
          <w:szCs w:val="20"/>
        </w:rPr>
        <w:t xml:space="preserve"> &amp; </w:t>
      </w:r>
      <w:proofErr w:type="spellStart"/>
      <w:r>
        <w:rPr>
          <w:sz w:val="20"/>
          <w:szCs w:val="20"/>
        </w:rPr>
        <w:t>Publ</w:t>
      </w:r>
      <w:proofErr w:type="spellEnd"/>
      <w:r>
        <w:rPr>
          <w:sz w:val="20"/>
          <w:szCs w:val="20"/>
        </w:rPr>
        <w:t xml:space="preserve"> </w:t>
      </w:r>
      <w:proofErr w:type="spellStart"/>
      <w:r>
        <w:rPr>
          <w:sz w:val="20"/>
          <w:szCs w:val="20"/>
        </w:rPr>
        <w:t>Healt</w:t>
      </w:r>
      <w:proofErr w:type="spellEnd"/>
      <w:r>
        <w:rPr>
          <w:sz w:val="20"/>
          <w:szCs w:val="20"/>
        </w:rPr>
        <w:t xml:space="preserve"> 01(03</w:t>
      </w:r>
      <w:r w:rsidR="00F76374">
        <w:rPr>
          <w:sz w:val="20"/>
          <w:szCs w:val="20"/>
        </w:rPr>
        <w:t>): 2021-18</w:t>
      </w:r>
      <w:r w:rsidRPr="008453C4">
        <w:rPr>
          <w:sz w:val="20"/>
          <w:szCs w:val="20"/>
        </w:rPr>
        <w:t>.</w:t>
      </w:r>
    </w:p>
    <w:p w14:paraId="0859F593" w14:textId="77777777" w:rsidR="00944C9F" w:rsidRPr="008453C4" w:rsidRDefault="00944C9F" w:rsidP="00944C9F">
      <w:pPr>
        <w:contextualSpacing/>
        <w:mirrorIndents/>
        <w:jc w:val="both"/>
        <w:rPr>
          <w:sz w:val="20"/>
          <w:szCs w:val="20"/>
        </w:rPr>
      </w:pPr>
    </w:p>
    <w:p w14:paraId="7E2ECA90" w14:textId="377F2AAC" w:rsidR="00944C9F" w:rsidRPr="008453C4" w:rsidRDefault="00944C9F" w:rsidP="00944C9F">
      <w:pPr>
        <w:contextualSpacing/>
        <w:mirrorIndents/>
        <w:jc w:val="both"/>
        <w:rPr>
          <w:sz w:val="20"/>
          <w:szCs w:val="20"/>
        </w:rPr>
      </w:pPr>
      <w:r w:rsidRPr="008453C4">
        <w:rPr>
          <w:b/>
          <w:sz w:val="20"/>
          <w:szCs w:val="20"/>
        </w:rPr>
        <w:t>Submission Date:</w:t>
      </w:r>
      <w:r w:rsidRPr="008453C4">
        <w:rPr>
          <w:sz w:val="20"/>
          <w:szCs w:val="20"/>
        </w:rPr>
        <w:t xml:space="preserve"> </w:t>
      </w:r>
      <w:r w:rsidR="008C076A">
        <w:rPr>
          <w:sz w:val="20"/>
          <w:szCs w:val="20"/>
        </w:rPr>
        <w:t>07 October</w:t>
      </w:r>
      <w:r w:rsidRPr="008453C4">
        <w:rPr>
          <w:sz w:val="20"/>
          <w:szCs w:val="20"/>
        </w:rPr>
        <w:t xml:space="preserve">, 2021; </w:t>
      </w:r>
      <w:r w:rsidRPr="008453C4">
        <w:rPr>
          <w:b/>
          <w:sz w:val="20"/>
          <w:szCs w:val="20"/>
        </w:rPr>
        <w:t>Accepted Date:</w:t>
      </w:r>
      <w:r w:rsidRPr="008453C4">
        <w:rPr>
          <w:sz w:val="20"/>
          <w:szCs w:val="20"/>
        </w:rPr>
        <w:t xml:space="preserve"> </w:t>
      </w:r>
      <w:r w:rsidR="0050545F">
        <w:rPr>
          <w:sz w:val="20"/>
          <w:szCs w:val="20"/>
        </w:rPr>
        <w:t>28</w:t>
      </w:r>
      <w:r w:rsidRPr="008453C4">
        <w:rPr>
          <w:sz w:val="20"/>
          <w:szCs w:val="20"/>
        </w:rPr>
        <w:t xml:space="preserve"> October, 2021; </w:t>
      </w:r>
      <w:r w:rsidRPr="008453C4">
        <w:rPr>
          <w:b/>
          <w:sz w:val="20"/>
          <w:szCs w:val="20"/>
        </w:rPr>
        <w:t>Published Online:</w:t>
      </w:r>
      <w:r w:rsidRPr="008453C4">
        <w:rPr>
          <w:sz w:val="20"/>
          <w:szCs w:val="20"/>
        </w:rPr>
        <w:t xml:space="preserve"> </w:t>
      </w:r>
      <w:r w:rsidR="00B84B13">
        <w:rPr>
          <w:sz w:val="20"/>
          <w:szCs w:val="20"/>
        </w:rPr>
        <w:t>02 November</w:t>
      </w:r>
      <w:r w:rsidRPr="008453C4">
        <w:rPr>
          <w:sz w:val="20"/>
          <w:szCs w:val="20"/>
        </w:rPr>
        <w:t>, 2021</w:t>
      </w:r>
    </w:p>
    <w:p w14:paraId="60BB61DD" w14:textId="644B2023" w:rsidR="0021644D" w:rsidRPr="001C4901" w:rsidRDefault="0021644D" w:rsidP="00B63B59">
      <w:pPr>
        <w:contextualSpacing/>
        <w:mirrorIndents/>
        <w:jc w:val="both"/>
        <w:rPr>
          <w:sz w:val="20"/>
          <w:szCs w:val="20"/>
          <w:lang w:val="en" w:eastAsia="nl-NL"/>
        </w:rPr>
      </w:pPr>
    </w:p>
    <w:p w14:paraId="0FA64B3B" w14:textId="77777777" w:rsidR="00E03717" w:rsidRPr="00E73076" w:rsidRDefault="005B3FC2" w:rsidP="00B63B59">
      <w:pPr>
        <w:contextualSpacing/>
        <w:mirrorIndents/>
        <w:jc w:val="both"/>
        <w:rPr>
          <w:b/>
          <w:sz w:val="22"/>
          <w:szCs w:val="22"/>
        </w:rPr>
      </w:pPr>
      <w:r w:rsidRPr="00E73076">
        <w:rPr>
          <w:b/>
          <w:sz w:val="22"/>
          <w:szCs w:val="22"/>
        </w:rPr>
        <w:t>Abstract</w:t>
      </w:r>
    </w:p>
    <w:p w14:paraId="79A0D824" w14:textId="77777777" w:rsidR="00E03717" w:rsidRPr="001C4901" w:rsidRDefault="00E03717" w:rsidP="00B63B59">
      <w:pPr>
        <w:contextualSpacing/>
        <w:mirrorIndents/>
        <w:jc w:val="both"/>
        <w:rPr>
          <w:sz w:val="20"/>
          <w:szCs w:val="20"/>
        </w:rPr>
      </w:pPr>
    </w:p>
    <w:p w14:paraId="2A90E8BF" w14:textId="77777777" w:rsidR="005B3FC2" w:rsidRPr="001C4901" w:rsidRDefault="005B3FC2" w:rsidP="00B63B59">
      <w:pPr>
        <w:contextualSpacing/>
        <w:mirrorIndents/>
        <w:jc w:val="both"/>
        <w:rPr>
          <w:sz w:val="20"/>
          <w:szCs w:val="20"/>
        </w:rPr>
      </w:pPr>
      <w:r w:rsidRPr="001C4901">
        <w:rPr>
          <w:b/>
          <w:sz w:val="20"/>
          <w:szCs w:val="20"/>
        </w:rPr>
        <w:t>Purpose:</w:t>
      </w:r>
      <w:r w:rsidR="00E03717" w:rsidRPr="001C4901">
        <w:rPr>
          <w:b/>
          <w:sz w:val="20"/>
          <w:szCs w:val="20"/>
        </w:rPr>
        <w:t xml:space="preserve"> </w:t>
      </w:r>
      <w:r w:rsidRPr="001C4901">
        <w:rPr>
          <w:sz w:val="20"/>
          <w:szCs w:val="20"/>
        </w:rPr>
        <w:t xml:space="preserve">The COVID-19 pandemic has changed education. Technology previously used as a supplement to education has now become a requisite. We characterized how education has shifted during the pandemic to inform university leaders and educators about their learners' experiences. The learners offer suggestions for leaders to consider for better preparedness for educational disruptions. </w:t>
      </w:r>
    </w:p>
    <w:p w14:paraId="143DB10B" w14:textId="77777777" w:rsidR="005B3FC2" w:rsidRPr="001C4901" w:rsidRDefault="005B3FC2" w:rsidP="00B63B59">
      <w:pPr>
        <w:contextualSpacing/>
        <w:mirrorIndents/>
        <w:jc w:val="both"/>
        <w:rPr>
          <w:sz w:val="20"/>
          <w:szCs w:val="20"/>
        </w:rPr>
      </w:pPr>
      <w:r w:rsidRPr="001C4901">
        <w:rPr>
          <w:b/>
          <w:sz w:val="20"/>
          <w:szCs w:val="20"/>
        </w:rPr>
        <w:t>Methodology:</w:t>
      </w:r>
      <w:r w:rsidR="00E03717" w:rsidRPr="001C4901">
        <w:rPr>
          <w:b/>
          <w:sz w:val="20"/>
          <w:szCs w:val="20"/>
        </w:rPr>
        <w:t xml:space="preserve"> </w:t>
      </w:r>
      <w:r w:rsidRPr="001C4901">
        <w:rPr>
          <w:sz w:val="20"/>
          <w:szCs w:val="20"/>
        </w:rPr>
        <w:t xml:space="preserve">The authors analyzed the remote educational experiences of 78 health professional students from 20 countries between May and June, 2020. Participants completed a 19 question online survey to regarding how their school curriculum had changed, the challenges faced with these changes, how they adapted to these changes, and lessons learned. </w:t>
      </w:r>
    </w:p>
    <w:p w14:paraId="1DBDBBAE" w14:textId="77777777" w:rsidR="005B3FC2" w:rsidRPr="001C4901" w:rsidRDefault="005B3FC2" w:rsidP="00B63B59">
      <w:pPr>
        <w:contextualSpacing/>
        <w:mirrorIndents/>
        <w:jc w:val="both"/>
        <w:rPr>
          <w:sz w:val="20"/>
          <w:szCs w:val="20"/>
        </w:rPr>
      </w:pPr>
      <w:r w:rsidRPr="001C4901">
        <w:rPr>
          <w:b/>
          <w:sz w:val="20"/>
          <w:szCs w:val="20"/>
        </w:rPr>
        <w:t>Results:</w:t>
      </w:r>
      <w:r w:rsidR="00E03717" w:rsidRPr="001C4901">
        <w:rPr>
          <w:b/>
          <w:sz w:val="20"/>
          <w:szCs w:val="20"/>
        </w:rPr>
        <w:t xml:space="preserve"> </w:t>
      </w:r>
      <w:r w:rsidRPr="001C4901">
        <w:rPr>
          <w:sz w:val="20"/>
          <w:szCs w:val="20"/>
        </w:rPr>
        <w:t xml:space="preserve">For all respondents, curriculum delivery shifted from a traditional in-person classroom model to an online module. Almost one-third of students reported complete closure of the institution. Although two-thirds reported internet access as the most significant barrier, this was also noted as the most immediate improvement universities could make. </w:t>
      </w:r>
    </w:p>
    <w:p w14:paraId="12D5BD08" w14:textId="77777777" w:rsidR="005B3FC2" w:rsidRPr="001C4901" w:rsidRDefault="005B3FC2" w:rsidP="00B63B59">
      <w:pPr>
        <w:contextualSpacing/>
        <w:mirrorIndents/>
        <w:jc w:val="both"/>
        <w:rPr>
          <w:sz w:val="20"/>
          <w:szCs w:val="20"/>
        </w:rPr>
      </w:pPr>
      <w:r w:rsidRPr="001C4901">
        <w:rPr>
          <w:b/>
          <w:sz w:val="20"/>
          <w:szCs w:val="20"/>
        </w:rPr>
        <w:t xml:space="preserve">Conclusion: </w:t>
      </w:r>
      <w:r w:rsidRPr="001C4901">
        <w:rPr>
          <w:sz w:val="20"/>
          <w:szCs w:val="20"/>
        </w:rPr>
        <w:t>The COVID-19 pandemic has changed e-learning, from an addition to a program to a necessity for delivering education. Improving access to the internet is a necessary precursor. This pandemic provides an opportunity to introduce and integrate information technology further into teaching in health professional schools.</w:t>
      </w:r>
    </w:p>
    <w:p w14:paraId="2CC1A5F0" w14:textId="77777777" w:rsidR="005B3FC2" w:rsidRPr="001C4901" w:rsidRDefault="005B3FC2" w:rsidP="00B63B59">
      <w:pPr>
        <w:contextualSpacing/>
        <w:mirrorIndents/>
        <w:jc w:val="both"/>
        <w:rPr>
          <w:b/>
          <w:sz w:val="20"/>
          <w:szCs w:val="20"/>
        </w:rPr>
      </w:pPr>
    </w:p>
    <w:p w14:paraId="1C07AD59" w14:textId="33138A27" w:rsidR="00D42548" w:rsidRPr="001C4901" w:rsidRDefault="005B3FC2" w:rsidP="00B63B59">
      <w:pPr>
        <w:contextualSpacing/>
        <w:mirrorIndents/>
        <w:jc w:val="both"/>
        <w:rPr>
          <w:sz w:val="20"/>
          <w:szCs w:val="20"/>
        </w:rPr>
      </w:pPr>
      <w:r w:rsidRPr="007B0213">
        <w:rPr>
          <w:b/>
          <w:sz w:val="22"/>
          <w:szCs w:val="22"/>
        </w:rPr>
        <w:t>Keywords:</w:t>
      </w:r>
      <w:r w:rsidR="00F03CFF">
        <w:rPr>
          <w:sz w:val="20"/>
          <w:szCs w:val="20"/>
        </w:rPr>
        <w:t xml:space="preserve"> I</w:t>
      </w:r>
      <w:r w:rsidR="00657DD5" w:rsidRPr="001C4901">
        <w:rPr>
          <w:sz w:val="20"/>
          <w:szCs w:val="20"/>
        </w:rPr>
        <w:t>mproving classro</w:t>
      </w:r>
      <w:r w:rsidR="00CE530D">
        <w:rPr>
          <w:sz w:val="20"/>
          <w:szCs w:val="20"/>
        </w:rPr>
        <w:t>om teaching; On-line learning; P</w:t>
      </w:r>
      <w:r w:rsidR="00657DD5" w:rsidRPr="001C4901">
        <w:rPr>
          <w:sz w:val="20"/>
          <w:szCs w:val="20"/>
        </w:rPr>
        <w:t>ost-secondary education;</w:t>
      </w:r>
      <w:r w:rsidRPr="001C4901">
        <w:rPr>
          <w:sz w:val="20"/>
          <w:szCs w:val="20"/>
        </w:rPr>
        <w:t xml:space="preserve"> </w:t>
      </w:r>
      <w:r w:rsidR="00CE530D">
        <w:rPr>
          <w:sz w:val="20"/>
          <w:szCs w:val="20"/>
        </w:rPr>
        <w:t>T</w:t>
      </w:r>
      <w:r w:rsidRPr="001C4901">
        <w:rPr>
          <w:sz w:val="20"/>
          <w:szCs w:val="20"/>
        </w:rPr>
        <w:t>eaching/learning strategies</w:t>
      </w:r>
    </w:p>
    <w:p w14:paraId="6D91FBE8" w14:textId="77777777" w:rsidR="00CD3529" w:rsidRPr="001C4901" w:rsidRDefault="00CD3529" w:rsidP="00B63B59">
      <w:pPr>
        <w:contextualSpacing/>
        <w:mirrorIndents/>
        <w:jc w:val="both"/>
        <w:rPr>
          <w:b/>
          <w:bCs/>
          <w:sz w:val="20"/>
          <w:szCs w:val="20"/>
        </w:rPr>
      </w:pPr>
    </w:p>
    <w:p w14:paraId="236805DA" w14:textId="1E74AC88" w:rsidR="00E03717" w:rsidRPr="00667085" w:rsidRDefault="002147E4" w:rsidP="00B63B59">
      <w:pPr>
        <w:contextualSpacing/>
        <w:mirrorIndents/>
        <w:jc w:val="both"/>
        <w:rPr>
          <w:b/>
          <w:bCs/>
          <w:sz w:val="22"/>
          <w:szCs w:val="22"/>
        </w:rPr>
      </w:pPr>
      <w:r w:rsidRPr="00667085">
        <w:rPr>
          <w:b/>
          <w:bCs/>
          <w:sz w:val="22"/>
          <w:szCs w:val="22"/>
        </w:rPr>
        <w:t>Introduction</w:t>
      </w:r>
    </w:p>
    <w:p w14:paraId="7D0BAA0E" w14:textId="77777777" w:rsidR="002147E4" w:rsidRPr="002147E4" w:rsidRDefault="002147E4" w:rsidP="00B63B59">
      <w:pPr>
        <w:contextualSpacing/>
        <w:mirrorIndents/>
        <w:jc w:val="both"/>
        <w:rPr>
          <w:sz w:val="20"/>
          <w:szCs w:val="20"/>
        </w:rPr>
      </w:pPr>
    </w:p>
    <w:p w14:paraId="68B53570" w14:textId="02956461" w:rsidR="005B3FC2" w:rsidRPr="001C4901" w:rsidRDefault="005B3FC2" w:rsidP="00B63B59">
      <w:pPr>
        <w:contextualSpacing/>
        <w:mirrorIndents/>
        <w:jc w:val="both"/>
        <w:rPr>
          <w:sz w:val="20"/>
          <w:szCs w:val="20"/>
        </w:rPr>
      </w:pPr>
      <w:r w:rsidRPr="001C4901">
        <w:rPr>
          <w:sz w:val="20"/>
          <w:szCs w:val="20"/>
        </w:rPr>
        <w:t>The COVID-19 pandemic presented a unique challenge for education broadly, and medical and health professions education specifically. Training in medicine or allied health professions require hands-on practice to acquire skills in clinical practice. In early 2020, countless medicine and health profession students had their education interrupted due to institutional plans to prevent the spread of the virus and conform to public health guidelines and governmental policies. Most universities determined their own plans of action in coordination with program accrediting bodies: some moved to online education, some fast-tracked final year students, others stopped all educational activities for the foreseeable future</w:t>
      </w:r>
      <w:r w:rsidR="007F35BF" w:rsidRPr="001C4901">
        <w:rPr>
          <w:sz w:val="20"/>
          <w:szCs w:val="20"/>
        </w:rPr>
        <w:t xml:space="preserve"> </w:t>
      </w:r>
      <w:r w:rsidR="007F35BF" w:rsidRPr="001C4901">
        <w:rPr>
          <w:color w:val="FF0000"/>
          <w:sz w:val="20"/>
          <w:szCs w:val="20"/>
        </w:rPr>
        <w:t>[1]</w:t>
      </w:r>
      <w:r w:rsidRPr="001C4901">
        <w:rPr>
          <w:sz w:val="20"/>
          <w:szCs w:val="20"/>
        </w:rPr>
        <w:t xml:space="preserve">. Researchers have </w:t>
      </w:r>
      <w:proofErr w:type="spellStart"/>
      <w:r w:rsidRPr="001C4901">
        <w:rPr>
          <w:sz w:val="20"/>
          <w:szCs w:val="20"/>
        </w:rPr>
        <w:t>initated</w:t>
      </w:r>
      <w:proofErr w:type="spellEnd"/>
      <w:r w:rsidRPr="001C4901">
        <w:rPr>
          <w:sz w:val="20"/>
          <w:szCs w:val="20"/>
        </w:rPr>
        <w:t xml:space="preserve"> inquiries, but a full understanding of the barriers and facilitators to continuing health professions education during the pandemic and the impact of curriculum and delivery modality changes on learner educational experiences are unknown.</w:t>
      </w:r>
      <w:r w:rsidR="00F71F88">
        <w:rPr>
          <w:sz w:val="20"/>
          <w:szCs w:val="20"/>
        </w:rPr>
        <w:t xml:space="preserve"> </w:t>
      </w:r>
    </w:p>
    <w:p w14:paraId="0AD00134" w14:textId="77777777" w:rsidR="005B3FC2" w:rsidRPr="001C4901" w:rsidRDefault="005B3FC2" w:rsidP="00B63B59">
      <w:pPr>
        <w:contextualSpacing/>
        <w:mirrorIndents/>
        <w:jc w:val="both"/>
        <w:rPr>
          <w:sz w:val="20"/>
          <w:szCs w:val="20"/>
        </w:rPr>
      </w:pPr>
    </w:p>
    <w:p w14:paraId="68CAD080" w14:textId="3B3A7085" w:rsidR="005B3FC2" w:rsidRPr="001C4901" w:rsidRDefault="005B3FC2" w:rsidP="00B63B59">
      <w:pPr>
        <w:contextualSpacing/>
        <w:mirrorIndents/>
        <w:jc w:val="both"/>
        <w:rPr>
          <w:sz w:val="20"/>
          <w:szCs w:val="20"/>
        </w:rPr>
      </w:pPr>
      <w:r w:rsidRPr="001C4901">
        <w:rPr>
          <w:sz w:val="20"/>
          <w:szCs w:val="20"/>
        </w:rPr>
        <w:t xml:space="preserve">Innovative solutions utilizing technology may help to bridge the educational gap for health sciences students during this unpredictable, unprecedented time. Today, technological devices are widely available in many forms: </w:t>
      </w:r>
      <w:r w:rsidRPr="001C4901">
        <w:rPr>
          <w:sz w:val="20"/>
          <w:szCs w:val="20"/>
        </w:rPr>
        <w:lastRenderedPageBreak/>
        <w:t>mobile phone, laptops, tablets, and virtual reality devices. These technologies change educational approaches and can potentially lead to their improvement. The mobile connectivity and internet access make the entire world “smaller” and allow easy communication and sharing of information, knowledge, and practices. Technology-enhanced learning (TEL, also known as e-learning) uses digital media technology such as the web, mobile phones and apps and computers, and software in teaching and learning activities across various modalities</w:t>
      </w:r>
      <w:r w:rsidR="00281EE7" w:rsidRPr="001C4901">
        <w:rPr>
          <w:sz w:val="20"/>
          <w:szCs w:val="20"/>
        </w:rPr>
        <w:t xml:space="preserve"> </w:t>
      </w:r>
      <w:r w:rsidR="00281EE7" w:rsidRPr="001C4901">
        <w:rPr>
          <w:color w:val="FF0000"/>
          <w:sz w:val="20"/>
          <w:szCs w:val="20"/>
        </w:rPr>
        <w:t>[2]</w:t>
      </w:r>
      <w:r w:rsidRPr="001C4901">
        <w:rPr>
          <w:sz w:val="20"/>
          <w:szCs w:val="20"/>
        </w:rPr>
        <w:t xml:space="preserve">. </w:t>
      </w:r>
    </w:p>
    <w:p w14:paraId="47ADA993" w14:textId="77777777" w:rsidR="005B3FC2" w:rsidRPr="001C4901" w:rsidRDefault="005B3FC2" w:rsidP="00B63B59">
      <w:pPr>
        <w:contextualSpacing/>
        <w:mirrorIndents/>
        <w:jc w:val="both"/>
        <w:rPr>
          <w:sz w:val="20"/>
          <w:szCs w:val="20"/>
        </w:rPr>
      </w:pPr>
    </w:p>
    <w:p w14:paraId="6C4F3588" w14:textId="72AAFC0A" w:rsidR="005B3FC2" w:rsidRPr="001C4901" w:rsidRDefault="005B3FC2" w:rsidP="00B63B59">
      <w:pPr>
        <w:contextualSpacing/>
        <w:mirrorIndents/>
        <w:jc w:val="both"/>
        <w:rPr>
          <w:sz w:val="20"/>
          <w:szCs w:val="20"/>
        </w:rPr>
      </w:pPr>
      <w:r w:rsidRPr="001C4901">
        <w:rPr>
          <w:sz w:val="20"/>
          <w:szCs w:val="20"/>
        </w:rPr>
        <w:t>TEL in health sciences education has been a topic of interest in recent years as more resources become available at a lower cost. Several enabling factors, as well as barriers, have been investigated. TEL may enable facilitation of learning by increasing the flexibility of programs and aid in the integration of into practice (ex. virtual patients). The barriers fall into two categories: personal characteristics and resources</w:t>
      </w:r>
      <w:r w:rsidR="00831229" w:rsidRPr="001C4901">
        <w:rPr>
          <w:sz w:val="20"/>
          <w:szCs w:val="20"/>
        </w:rPr>
        <w:t xml:space="preserve"> </w:t>
      </w:r>
      <w:r w:rsidR="00831229" w:rsidRPr="001C4901">
        <w:rPr>
          <w:color w:val="FF0000"/>
          <w:sz w:val="20"/>
          <w:szCs w:val="20"/>
        </w:rPr>
        <w:t>[3]</w:t>
      </w:r>
      <w:r w:rsidRPr="001C4901">
        <w:rPr>
          <w:sz w:val="20"/>
          <w:szCs w:val="20"/>
        </w:rPr>
        <w:t xml:space="preserve">. Personal barriers include low motivation and expectations, lack of </w:t>
      </w:r>
      <w:r w:rsidR="006D7833" w:rsidRPr="001C4901">
        <w:rPr>
          <w:sz w:val="20"/>
          <w:szCs w:val="20"/>
        </w:rPr>
        <w:t xml:space="preserve">Information Technology </w:t>
      </w:r>
      <w:r w:rsidRPr="001C4901">
        <w:rPr>
          <w:sz w:val="20"/>
          <w:szCs w:val="20"/>
        </w:rPr>
        <w:t>(I.T.)</w:t>
      </w:r>
      <w:r w:rsidRPr="001C4901">
        <w:rPr>
          <w:rStyle w:val="CommentReference"/>
          <w:sz w:val="20"/>
          <w:szCs w:val="20"/>
        </w:rPr>
        <w:t xml:space="preserve"> </w:t>
      </w:r>
      <w:r w:rsidRPr="001C4901">
        <w:rPr>
          <w:sz w:val="20"/>
          <w:szCs w:val="20"/>
        </w:rPr>
        <w:t>skills, and poor attitude toward TEL. Resource barriers include a</w:t>
      </w:r>
      <w:r w:rsidR="00266C07">
        <w:rPr>
          <w:sz w:val="20"/>
          <w:szCs w:val="20"/>
        </w:rPr>
        <w:t xml:space="preserve"> </w:t>
      </w:r>
      <w:r w:rsidRPr="001C4901">
        <w:rPr>
          <w:sz w:val="20"/>
          <w:szCs w:val="20"/>
        </w:rPr>
        <w:t>lack of infrastructure, high cost, and educators' time constraints to set up online education. Additionally, not all content can be taught online due to its complicated or non-compatible nature. For example, lab work for biomedical students or practical skills of suturing or delivering bad news to a patient for medical students is not compatible with online learning</w:t>
      </w:r>
      <w:r w:rsidR="005706C8" w:rsidRPr="001C4901">
        <w:rPr>
          <w:sz w:val="20"/>
          <w:szCs w:val="20"/>
        </w:rPr>
        <w:t xml:space="preserve"> </w:t>
      </w:r>
      <w:r w:rsidR="008920DD">
        <w:rPr>
          <w:color w:val="FF0000"/>
          <w:sz w:val="20"/>
          <w:szCs w:val="20"/>
        </w:rPr>
        <w:t>[3-</w:t>
      </w:r>
      <w:r w:rsidR="005706C8" w:rsidRPr="001C4901">
        <w:rPr>
          <w:color w:val="FF0000"/>
          <w:sz w:val="20"/>
          <w:szCs w:val="20"/>
        </w:rPr>
        <w:t>5]</w:t>
      </w:r>
      <w:r w:rsidRPr="001C4901">
        <w:rPr>
          <w:sz w:val="20"/>
          <w:szCs w:val="20"/>
        </w:rPr>
        <w:t>. There is not universal agreement on the barriers, thus factors vary by program and university</w:t>
      </w:r>
      <w:r w:rsidR="0065442D" w:rsidRPr="001C4901">
        <w:rPr>
          <w:sz w:val="20"/>
          <w:szCs w:val="20"/>
        </w:rPr>
        <w:t xml:space="preserve"> </w:t>
      </w:r>
      <w:r w:rsidR="0065442D" w:rsidRPr="001C4901">
        <w:rPr>
          <w:color w:val="FF0000"/>
          <w:sz w:val="20"/>
          <w:szCs w:val="20"/>
        </w:rPr>
        <w:t>[5]</w:t>
      </w:r>
      <w:r w:rsidRPr="001C4901">
        <w:rPr>
          <w:sz w:val="20"/>
          <w:szCs w:val="20"/>
        </w:rPr>
        <w:t>. In low-resource settings, a significant bottleneck for the implementation of e-learning is infrastructure. Most low-resource countries have limited access to electricity, the internet, and different climatic environments (high temperature, dust), which require more technical support</w:t>
      </w:r>
      <w:r w:rsidR="008836D5" w:rsidRPr="001C4901">
        <w:rPr>
          <w:sz w:val="20"/>
          <w:szCs w:val="20"/>
        </w:rPr>
        <w:t xml:space="preserve"> </w:t>
      </w:r>
      <w:r w:rsidR="008836D5" w:rsidRPr="001C4901">
        <w:rPr>
          <w:color w:val="FF0000"/>
          <w:sz w:val="20"/>
          <w:szCs w:val="20"/>
        </w:rPr>
        <w:t>[6]</w:t>
      </w:r>
      <w:r w:rsidRPr="001C4901">
        <w:rPr>
          <w:sz w:val="20"/>
          <w:szCs w:val="20"/>
        </w:rPr>
        <w:t xml:space="preserve">. Barriers for TEL during COVID are both personal and resource related including unreliable internet service, lack of a personal computer, </w:t>
      </w:r>
      <w:proofErr w:type="spellStart"/>
      <w:r w:rsidRPr="001C4901">
        <w:rPr>
          <w:sz w:val="20"/>
          <w:szCs w:val="20"/>
        </w:rPr>
        <w:t>heightned</w:t>
      </w:r>
      <w:proofErr w:type="spellEnd"/>
      <w:r w:rsidRPr="001C4901">
        <w:rPr>
          <w:sz w:val="20"/>
          <w:szCs w:val="20"/>
        </w:rPr>
        <w:t xml:space="preserve"> stress from confinement along with many homework assignments with minimal contact with instructors and peers</w:t>
      </w:r>
      <w:r w:rsidR="00A520CA" w:rsidRPr="001C4901">
        <w:rPr>
          <w:sz w:val="20"/>
          <w:szCs w:val="20"/>
        </w:rPr>
        <w:t xml:space="preserve"> </w:t>
      </w:r>
      <w:r w:rsidR="0014132D">
        <w:rPr>
          <w:color w:val="FF0000"/>
          <w:sz w:val="20"/>
          <w:szCs w:val="20"/>
        </w:rPr>
        <w:t>[5-</w:t>
      </w:r>
      <w:r w:rsidR="00A520CA" w:rsidRPr="001C4901">
        <w:rPr>
          <w:color w:val="FF0000"/>
          <w:sz w:val="20"/>
          <w:szCs w:val="20"/>
        </w:rPr>
        <w:t>7]</w:t>
      </w:r>
      <w:r w:rsidRPr="001C4901">
        <w:rPr>
          <w:sz w:val="20"/>
          <w:szCs w:val="20"/>
        </w:rPr>
        <w:t>.</w:t>
      </w:r>
      <w:r w:rsidR="00A520CA" w:rsidRPr="001C4901">
        <w:rPr>
          <w:sz w:val="20"/>
          <w:szCs w:val="20"/>
        </w:rPr>
        <w:t xml:space="preserve"> </w:t>
      </w:r>
    </w:p>
    <w:p w14:paraId="35C58709" w14:textId="77777777" w:rsidR="005B3FC2" w:rsidRPr="001C4901" w:rsidRDefault="005B3FC2" w:rsidP="00B63B59">
      <w:pPr>
        <w:contextualSpacing/>
        <w:mirrorIndents/>
        <w:jc w:val="both"/>
        <w:rPr>
          <w:sz w:val="20"/>
          <w:szCs w:val="20"/>
        </w:rPr>
      </w:pPr>
    </w:p>
    <w:p w14:paraId="6E13D3A1" w14:textId="77777777" w:rsidR="00413200" w:rsidRDefault="005B3FC2" w:rsidP="00413200">
      <w:pPr>
        <w:contextualSpacing/>
        <w:mirrorIndents/>
        <w:jc w:val="both"/>
        <w:rPr>
          <w:sz w:val="20"/>
          <w:szCs w:val="20"/>
        </w:rPr>
      </w:pPr>
      <w:r w:rsidRPr="001C4901">
        <w:rPr>
          <w:sz w:val="20"/>
          <w:szCs w:val="20"/>
        </w:rPr>
        <w:t>The aim of this study is to explore current experiences, expectations, opportunities, and challenges in introducing and adopting distance learning through technology utilization to overcome educational delays resulting from the pandemic in health profession schools. With this research, we, identify different educational approaches taken during the early days of the pandemic in anticipation of future pandemics or other major disruptive events. This may help universities understand the facilitators and barriers to TEL for planning contingencies for events that disrupt in person education in the future, ultimately leading to improved health professional education.</w:t>
      </w:r>
      <w:bookmarkStart w:id="1" w:name="_1fob9te" w:colFirst="0" w:colLast="0"/>
      <w:bookmarkEnd w:id="1"/>
    </w:p>
    <w:p w14:paraId="786AFB15" w14:textId="77777777" w:rsidR="00413200" w:rsidRDefault="00413200" w:rsidP="00413200">
      <w:pPr>
        <w:contextualSpacing/>
        <w:mirrorIndents/>
        <w:jc w:val="both"/>
        <w:rPr>
          <w:sz w:val="20"/>
          <w:szCs w:val="20"/>
        </w:rPr>
      </w:pPr>
    </w:p>
    <w:p w14:paraId="513A6812" w14:textId="09AACC44" w:rsidR="005B3FC2" w:rsidRPr="00601FBA" w:rsidRDefault="005B3FC2" w:rsidP="00413200">
      <w:pPr>
        <w:contextualSpacing/>
        <w:mirrorIndents/>
        <w:jc w:val="both"/>
        <w:rPr>
          <w:sz w:val="22"/>
          <w:szCs w:val="22"/>
        </w:rPr>
      </w:pPr>
      <w:r w:rsidRPr="00601FBA">
        <w:rPr>
          <w:b/>
          <w:bCs/>
          <w:sz w:val="22"/>
          <w:szCs w:val="22"/>
        </w:rPr>
        <w:t>Methods</w:t>
      </w:r>
    </w:p>
    <w:p w14:paraId="48B74C36" w14:textId="77777777" w:rsidR="00E03717" w:rsidRPr="001C4901" w:rsidRDefault="00E03717" w:rsidP="00B63B59">
      <w:pPr>
        <w:contextualSpacing/>
        <w:mirrorIndents/>
        <w:jc w:val="both"/>
        <w:rPr>
          <w:sz w:val="20"/>
          <w:szCs w:val="20"/>
        </w:rPr>
      </w:pPr>
    </w:p>
    <w:p w14:paraId="3AF38D02" w14:textId="77777777" w:rsidR="005B3FC2" w:rsidRPr="001C4901" w:rsidRDefault="005B3FC2" w:rsidP="00B63B59">
      <w:pPr>
        <w:contextualSpacing/>
        <w:mirrorIndents/>
        <w:jc w:val="both"/>
        <w:rPr>
          <w:sz w:val="20"/>
          <w:szCs w:val="20"/>
        </w:rPr>
      </w:pPr>
      <w:r w:rsidRPr="001C4901">
        <w:rPr>
          <w:sz w:val="20"/>
          <w:szCs w:val="20"/>
        </w:rPr>
        <w:t xml:space="preserve">We used a cross-sectional observational survey design. The survey was conducted online and included both multiple choice and open-ended questions. Questions from the survey were multiple-choice and open-ended questions. </w:t>
      </w:r>
    </w:p>
    <w:p w14:paraId="2C7553F4" w14:textId="77777777" w:rsidR="005B3FC2" w:rsidRPr="001C4901" w:rsidRDefault="005B3FC2" w:rsidP="00B63B59">
      <w:pPr>
        <w:contextualSpacing/>
        <w:mirrorIndents/>
        <w:jc w:val="both"/>
        <w:rPr>
          <w:sz w:val="20"/>
          <w:szCs w:val="20"/>
        </w:rPr>
      </w:pPr>
    </w:p>
    <w:p w14:paraId="2C228365" w14:textId="2FB5C128" w:rsidR="005B3FC2" w:rsidRPr="001C4901" w:rsidRDefault="00E145F8" w:rsidP="00B63B59">
      <w:pPr>
        <w:contextualSpacing/>
        <w:mirrorIndents/>
        <w:jc w:val="both"/>
        <w:rPr>
          <w:b/>
          <w:sz w:val="20"/>
          <w:szCs w:val="20"/>
        </w:rPr>
      </w:pPr>
      <w:r>
        <w:rPr>
          <w:b/>
          <w:sz w:val="20"/>
          <w:szCs w:val="20"/>
        </w:rPr>
        <w:t>Ethical C</w:t>
      </w:r>
      <w:r w:rsidR="005B3FC2" w:rsidRPr="001C4901">
        <w:rPr>
          <w:b/>
          <w:sz w:val="20"/>
          <w:szCs w:val="20"/>
        </w:rPr>
        <w:t>onsiderations</w:t>
      </w:r>
    </w:p>
    <w:p w14:paraId="431785AB" w14:textId="77777777" w:rsidR="00E03717" w:rsidRPr="001C4901" w:rsidRDefault="00E03717" w:rsidP="00B63B59">
      <w:pPr>
        <w:contextualSpacing/>
        <w:mirrorIndents/>
        <w:jc w:val="both"/>
        <w:rPr>
          <w:sz w:val="20"/>
          <w:szCs w:val="20"/>
        </w:rPr>
      </w:pPr>
    </w:p>
    <w:p w14:paraId="786FD200" w14:textId="77777777" w:rsidR="005B3FC2" w:rsidRPr="001C4901" w:rsidRDefault="005B3FC2" w:rsidP="00B63B59">
      <w:pPr>
        <w:contextualSpacing/>
        <w:mirrorIndents/>
        <w:jc w:val="both"/>
        <w:rPr>
          <w:sz w:val="20"/>
          <w:szCs w:val="20"/>
        </w:rPr>
      </w:pPr>
      <w:r w:rsidRPr="001C4901">
        <w:rPr>
          <w:sz w:val="20"/>
          <w:szCs w:val="20"/>
        </w:rPr>
        <w:t>The University of New Mexico Human Research and Review Committee approved the study design (HRRC 20-256). Responding to the survey was voluntary. A consent form was provided in the introduction to the survey. Consent was given once they agreed to participate. No personally identifiable information was collected.</w:t>
      </w:r>
    </w:p>
    <w:p w14:paraId="74D844E1" w14:textId="77777777" w:rsidR="005B3FC2" w:rsidRPr="001C4901" w:rsidRDefault="005B3FC2" w:rsidP="00B63B59">
      <w:pPr>
        <w:contextualSpacing/>
        <w:mirrorIndents/>
        <w:jc w:val="both"/>
        <w:rPr>
          <w:sz w:val="20"/>
          <w:szCs w:val="20"/>
        </w:rPr>
      </w:pPr>
    </w:p>
    <w:p w14:paraId="27D767BF" w14:textId="1A472875" w:rsidR="005B3FC2" w:rsidRPr="001C4901" w:rsidRDefault="002934CF" w:rsidP="00B63B59">
      <w:pPr>
        <w:contextualSpacing/>
        <w:mirrorIndents/>
        <w:jc w:val="both"/>
        <w:rPr>
          <w:b/>
          <w:sz w:val="20"/>
          <w:szCs w:val="20"/>
        </w:rPr>
      </w:pPr>
      <w:r>
        <w:rPr>
          <w:b/>
          <w:sz w:val="20"/>
          <w:szCs w:val="20"/>
        </w:rPr>
        <w:t>Study P</w:t>
      </w:r>
      <w:r w:rsidR="005B3FC2" w:rsidRPr="001C4901">
        <w:rPr>
          <w:b/>
          <w:sz w:val="20"/>
          <w:szCs w:val="20"/>
        </w:rPr>
        <w:t>opulation</w:t>
      </w:r>
    </w:p>
    <w:p w14:paraId="0DB3D58B" w14:textId="77777777" w:rsidR="00E03717" w:rsidRPr="001C4901" w:rsidRDefault="00E03717" w:rsidP="00B63B59">
      <w:pPr>
        <w:contextualSpacing/>
        <w:mirrorIndents/>
        <w:jc w:val="both"/>
        <w:rPr>
          <w:sz w:val="20"/>
          <w:szCs w:val="20"/>
        </w:rPr>
      </w:pPr>
    </w:p>
    <w:p w14:paraId="4713F017" w14:textId="77777777" w:rsidR="005B3FC2" w:rsidRPr="001C4901" w:rsidRDefault="005B3FC2" w:rsidP="00B63B59">
      <w:pPr>
        <w:contextualSpacing/>
        <w:mirrorIndents/>
        <w:jc w:val="both"/>
        <w:rPr>
          <w:b/>
          <w:sz w:val="20"/>
          <w:szCs w:val="20"/>
        </w:rPr>
      </w:pPr>
      <w:r w:rsidRPr="001C4901">
        <w:rPr>
          <w:sz w:val="20"/>
          <w:szCs w:val="20"/>
        </w:rPr>
        <w:t>Study participants were health professional students who are members of the Student Network Organization (SNO) of The Network: Towards Unity for Health (TUFH).</w:t>
      </w:r>
      <w:r w:rsidRPr="001C4901">
        <w:rPr>
          <w:sz w:val="20"/>
          <w:szCs w:val="20"/>
        </w:rPr>
        <w:fldChar w:fldCharType="begin"/>
      </w:r>
      <w:r w:rsidRPr="001C4901">
        <w:rPr>
          <w:sz w:val="20"/>
          <w:szCs w:val="20"/>
        </w:rPr>
        <w:instrText xml:space="preserve"> ADDIN ZOTERO_ITEM CSL_CITATION {"citationID":"ROECtqc0","properties":{"formattedCitation":"\\super 8\\nosupersub{}","plainCitation":"8","noteIndex":0},"citationItems":[{"id":2307,"uris":["http://zotero.org/groups/2550134/items/DX8RHU4R"],"uri":["http://zotero.org/groups/2550134/items/DX8RHU4R"],"itemData":{"id":2307,"type":"webpage","container-title":"The Network: Towards Unity for Health","language":"en-US","title":"The Network: Towards Unity for Health","title-short":"The Network","URL":"https://thenetworktufh.org/","accessed":{"date-parts":[["2020",11,21]]}}}],"schema":"https://github.com/citation-style-language/schema/raw/master/csl-citation.json"} </w:instrText>
      </w:r>
      <w:r w:rsidRPr="001C4901">
        <w:rPr>
          <w:sz w:val="20"/>
          <w:szCs w:val="20"/>
        </w:rPr>
        <w:fldChar w:fldCharType="separate"/>
      </w:r>
      <w:r w:rsidRPr="001C4901">
        <w:rPr>
          <w:sz w:val="20"/>
          <w:szCs w:val="20"/>
          <w:vertAlign w:val="superscript"/>
        </w:rPr>
        <w:t>8</w:t>
      </w:r>
      <w:r w:rsidRPr="001C4901">
        <w:rPr>
          <w:sz w:val="20"/>
          <w:szCs w:val="20"/>
        </w:rPr>
        <w:fldChar w:fldCharType="end"/>
      </w:r>
      <w:r w:rsidRPr="001C4901">
        <w:rPr>
          <w:sz w:val="20"/>
          <w:szCs w:val="20"/>
        </w:rPr>
        <w:t xml:space="preserve"> We defined health professional students as enrolled in a higher-level education program to study medicine, nursing, pharmacy, midwifery, and other professions relating to health care. As of May 24, 2020, there were 438 student members from 43 different countries, 85% from low and middle-income settings. Invitations to participate in the study were posted on SNO social media platforms (Facebook, Instagram, and Twitter) and sent via email to all students in the SNO. Only registered SNO members could access the survey. Data were collected from 78 health professional students (a response rate of 18%) representing 20 countries (47% of countries in the sampling frame). </w:t>
      </w:r>
    </w:p>
    <w:p w14:paraId="62EE7DD7" w14:textId="77777777" w:rsidR="005B3FC2" w:rsidRPr="001C4901" w:rsidRDefault="005B3FC2" w:rsidP="00B63B59">
      <w:pPr>
        <w:contextualSpacing/>
        <w:mirrorIndents/>
        <w:jc w:val="both"/>
        <w:rPr>
          <w:b/>
          <w:sz w:val="20"/>
          <w:szCs w:val="20"/>
        </w:rPr>
      </w:pPr>
      <w:bookmarkStart w:id="2" w:name="_tyjcwt" w:colFirst="0" w:colLast="0"/>
      <w:bookmarkEnd w:id="2"/>
    </w:p>
    <w:p w14:paraId="725E98FD" w14:textId="77777777" w:rsidR="005B3FC2" w:rsidRPr="001C4901" w:rsidRDefault="005B3FC2" w:rsidP="00B63B59">
      <w:pPr>
        <w:contextualSpacing/>
        <w:mirrorIndents/>
        <w:jc w:val="both"/>
        <w:rPr>
          <w:b/>
          <w:sz w:val="20"/>
          <w:szCs w:val="20"/>
        </w:rPr>
      </w:pPr>
      <w:r w:rsidRPr="001C4901">
        <w:rPr>
          <w:b/>
          <w:sz w:val="20"/>
          <w:szCs w:val="20"/>
        </w:rPr>
        <w:t>Indicators</w:t>
      </w:r>
    </w:p>
    <w:p w14:paraId="322013BA" w14:textId="77777777" w:rsidR="00E03717" w:rsidRPr="001C4901" w:rsidRDefault="00E03717" w:rsidP="00B63B59">
      <w:pPr>
        <w:contextualSpacing/>
        <w:mirrorIndents/>
        <w:jc w:val="both"/>
        <w:rPr>
          <w:sz w:val="20"/>
          <w:szCs w:val="20"/>
          <w:highlight w:val="white"/>
        </w:rPr>
      </w:pPr>
    </w:p>
    <w:p w14:paraId="13A19D1E" w14:textId="77777777" w:rsidR="005B3FC2" w:rsidRPr="001C4901" w:rsidRDefault="005B3FC2" w:rsidP="00B63B59">
      <w:pPr>
        <w:contextualSpacing/>
        <w:mirrorIndents/>
        <w:jc w:val="both"/>
        <w:rPr>
          <w:sz w:val="20"/>
          <w:szCs w:val="20"/>
        </w:rPr>
      </w:pPr>
      <w:r w:rsidRPr="001C4901">
        <w:rPr>
          <w:sz w:val="20"/>
          <w:szCs w:val="20"/>
          <w:highlight w:val="white"/>
        </w:rPr>
        <w:t xml:space="preserve">Demographic characteristics included country where they are studying, type of degree they are pursuing, specialty course of study, the year of study they are in, and if they are pursuing a clinical health profession, whether they are in their clinical or pre-clinical stage. </w:t>
      </w:r>
    </w:p>
    <w:p w14:paraId="3A153382" w14:textId="77777777" w:rsidR="005B3FC2" w:rsidRPr="001C4901" w:rsidRDefault="005B3FC2" w:rsidP="00B63B59">
      <w:pPr>
        <w:contextualSpacing/>
        <w:mirrorIndents/>
        <w:jc w:val="both"/>
        <w:rPr>
          <w:sz w:val="20"/>
          <w:szCs w:val="20"/>
          <w:highlight w:val="white"/>
        </w:rPr>
      </w:pPr>
    </w:p>
    <w:p w14:paraId="7A951253" w14:textId="3B13E271" w:rsidR="00E03717" w:rsidRDefault="005B3FC2" w:rsidP="00B63B59">
      <w:pPr>
        <w:contextualSpacing/>
        <w:mirrorIndents/>
        <w:jc w:val="both"/>
        <w:rPr>
          <w:sz w:val="20"/>
          <w:szCs w:val="20"/>
          <w:highlight w:val="white"/>
        </w:rPr>
      </w:pPr>
      <w:r w:rsidRPr="001C4901">
        <w:rPr>
          <w:sz w:val="20"/>
          <w:szCs w:val="20"/>
          <w:highlight w:val="white"/>
        </w:rPr>
        <w:t xml:space="preserve">The survey included four types of indicators </w:t>
      </w:r>
      <w:r w:rsidRPr="001C4901">
        <w:rPr>
          <w:color w:val="FF0000"/>
          <w:sz w:val="20"/>
          <w:szCs w:val="20"/>
          <w:highlight w:val="white"/>
        </w:rPr>
        <w:t>(Table 1)</w:t>
      </w:r>
      <w:r w:rsidRPr="001C4901">
        <w:rPr>
          <w:sz w:val="20"/>
          <w:szCs w:val="20"/>
          <w:highlight w:val="white"/>
        </w:rPr>
        <w:t xml:space="preserve"> to capture health professional student experiences with their curriculum during the COVID pandemic: curriculum delivery modalities, perception of the educational changes, barriers to accessing education after the changes, and participation </w:t>
      </w:r>
      <w:r w:rsidR="00E26F02">
        <w:rPr>
          <w:sz w:val="20"/>
          <w:szCs w:val="20"/>
          <w:highlight w:val="white"/>
        </w:rPr>
        <w:t>in COVID-19 related activities.</w:t>
      </w:r>
    </w:p>
    <w:p w14:paraId="04E2EA3D" w14:textId="77777777" w:rsidR="008E2D1E" w:rsidRDefault="008E2D1E" w:rsidP="00B63B59">
      <w:pPr>
        <w:contextualSpacing/>
        <w:mirrorIndents/>
        <w:jc w:val="both"/>
        <w:rPr>
          <w:b/>
          <w:sz w:val="20"/>
          <w:szCs w:val="20"/>
          <w:highlight w:val="white"/>
        </w:rPr>
      </w:pPr>
    </w:p>
    <w:tbl>
      <w:tblPr>
        <w:tblW w:w="8915" w:type="dxa"/>
        <w:jc w:val="center"/>
        <w:tblLook w:val="04A0" w:firstRow="1" w:lastRow="0" w:firstColumn="1" w:lastColumn="0" w:noHBand="0" w:noVBand="1"/>
      </w:tblPr>
      <w:tblGrid>
        <w:gridCol w:w="1350"/>
        <w:gridCol w:w="3325"/>
        <w:gridCol w:w="4240"/>
      </w:tblGrid>
      <w:tr w:rsidR="009E6EA7" w:rsidRPr="009E6EA7" w14:paraId="50BF5694" w14:textId="77777777" w:rsidTr="00C47996">
        <w:trPr>
          <w:trHeight w:val="300"/>
          <w:jc w:val="center"/>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17DC2" w14:textId="77777777" w:rsidR="009E6EA7" w:rsidRPr="009E6EA7" w:rsidRDefault="009E6EA7" w:rsidP="009E6EA7">
            <w:pPr>
              <w:rPr>
                <w:b/>
                <w:bCs/>
                <w:color w:val="000000"/>
                <w:sz w:val="20"/>
                <w:szCs w:val="20"/>
              </w:rPr>
            </w:pPr>
            <w:r w:rsidRPr="009E6EA7">
              <w:rPr>
                <w:b/>
                <w:bCs/>
                <w:color w:val="000000"/>
                <w:sz w:val="20"/>
                <w:szCs w:val="20"/>
              </w:rPr>
              <w:t>Indicators</w:t>
            </w:r>
          </w:p>
        </w:tc>
        <w:tc>
          <w:tcPr>
            <w:tcW w:w="3325" w:type="dxa"/>
            <w:tcBorders>
              <w:top w:val="single" w:sz="4" w:space="0" w:color="auto"/>
              <w:left w:val="nil"/>
              <w:bottom w:val="single" w:sz="4" w:space="0" w:color="auto"/>
              <w:right w:val="single" w:sz="4" w:space="0" w:color="auto"/>
            </w:tcBorders>
            <w:shd w:val="clear" w:color="auto" w:fill="auto"/>
            <w:noWrap/>
            <w:vAlign w:val="center"/>
            <w:hideMark/>
          </w:tcPr>
          <w:p w14:paraId="3F323459" w14:textId="77777777" w:rsidR="009E6EA7" w:rsidRPr="009E6EA7" w:rsidRDefault="009E6EA7" w:rsidP="009E6EA7">
            <w:pPr>
              <w:rPr>
                <w:b/>
                <w:bCs/>
                <w:color w:val="000000"/>
                <w:sz w:val="20"/>
                <w:szCs w:val="20"/>
              </w:rPr>
            </w:pPr>
            <w:r w:rsidRPr="009E6EA7">
              <w:rPr>
                <w:b/>
                <w:bCs/>
                <w:color w:val="000000"/>
                <w:sz w:val="20"/>
                <w:szCs w:val="20"/>
              </w:rPr>
              <w:t>Questions Asked</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14:paraId="040F0F01" w14:textId="77777777" w:rsidR="009E6EA7" w:rsidRPr="009E6EA7" w:rsidRDefault="009E6EA7" w:rsidP="009E6EA7">
            <w:pPr>
              <w:rPr>
                <w:color w:val="000000"/>
                <w:sz w:val="20"/>
                <w:szCs w:val="20"/>
              </w:rPr>
            </w:pPr>
            <w:r w:rsidRPr="009E6EA7">
              <w:rPr>
                <w:color w:val="000000"/>
                <w:sz w:val="20"/>
                <w:szCs w:val="20"/>
              </w:rPr>
              <w:t>Description</w:t>
            </w:r>
          </w:p>
        </w:tc>
      </w:tr>
      <w:tr w:rsidR="009E6EA7" w:rsidRPr="009E6EA7" w14:paraId="1079E959" w14:textId="77777777" w:rsidTr="00C47996">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76954F7" w14:textId="77777777" w:rsidR="009E6EA7" w:rsidRPr="009E6EA7" w:rsidRDefault="009E6EA7" w:rsidP="009E6EA7">
            <w:pPr>
              <w:jc w:val="center"/>
              <w:rPr>
                <w:color w:val="000000"/>
                <w:sz w:val="20"/>
                <w:szCs w:val="20"/>
              </w:rPr>
            </w:pPr>
            <w:r w:rsidRPr="009E6EA7">
              <w:rPr>
                <w:color w:val="000000"/>
                <w:sz w:val="20"/>
                <w:szCs w:val="20"/>
              </w:rPr>
              <w:t>Curriculum change</w:t>
            </w:r>
          </w:p>
        </w:tc>
        <w:tc>
          <w:tcPr>
            <w:tcW w:w="3325" w:type="dxa"/>
            <w:tcBorders>
              <w:top w:val="nil"/>
              <w:left w:val="nil"/>
              <w:bottom w:val="single" w:sz="4" w:space="0" w:color="auto"/>
              <w:right w:val="single" w:sz="4" w:space="0" w:color="auto"/>
            </w:tcBorders>
            <w:shd w:val="clear" w:color="auto" w:fill="auto"/>
            <w:noWrap/>
            <w:vAlign w:val="center"/>
            <w:hideMark/>
          </w:tcPr>
          <w:p w14:paraId="7EED6277" w14:textId="1A76DDE0" w:rsidR="009E6EA7" w:rsidRPr="009E6EA7" w:rsidRDefault="009E6EA7" w:rsidP="009E6EA7">
            <w:pPr>
              <w:jc w:val="center"/>
              <w:rPr>
                <w:color w:val="000000"/>
                <w:sz w:val="20"/>
                <w:szCs w:val="20"/>
              </w:rPr>
            </w:pPr>
            <w:r w:rsidRPr="009E6EA7">
              <w:rPr>
                <w:color w:val="000000"/>
                <w:sz w:val="20"/>
                <w:szCs w:val="20"/>
              </w:rPr>
              <w:t>Q1: What type of learning was part of your curriculum prior to the pandemic?</w:t>
            </w:r>
            <w:r w:rsidRPr="009E6EA7">
              <w:rPr>
                <w:color w:val="000000"/>
                <w:sz w:val="20"/>
                <w:szCs w:val="20"/>
              </w:rPr>
              <w:br/>
              <w:t>Q2: Since the COVID pandemic what type of learning is now part of your curriculum?</w:t>
            </w:r>
            <w:r w:rsidRPr="009E6EA7">
              <w:rPr>
                <w:color w:val="000000"/>
                <w:sz w:val="20"/>
                <w:szCs w:val="20"/>
              </w:rPr>
              <w:br/>
              <w:t>Q3: What changes has your school made</w:t>
            </w:r>
            <w:r>
              <w:rPr>
                <w:color w:val="000000"/>
                <w:sz w:val="20"/>
                <w:szCs w:val="20"/>
              </w:rPr>
              <w:t xml:space="preserve"> in regards to your curriculum?</w:t>
            </w:r>
            <w:r w:rsidRPr="009E6EA7">
              <w:rPr>
                <w:color w:val="000000"/>
                <w:sz w:val="20"/>
                <w:szCs w:val="20"/>
              </w:rPr>
              <w:br/>
              <w:t>Q4: Did your university and/or national board institution adapt examinations to fit the adapted education. If yes, how? Q5: What platform is your school using for online education delivery (if any)? With a secondary question of What online platforms would you recommend for other students?</w:t>
            </w:r>
          </w:p>
        </w:tc>
        <w:tc>
          <w:tcPr>
            <w:tcW w:w="4240" w:type="dxa"/>
            <w:tcBorders>
              <w:top w:val="nil"/>
              <w:left w:val="nil"/>
              <w:bottom w:val="single" w:sz="4" w:space="0" w:color="auto"/>
              <w:right w:val="single" w:sz="4" w:space="0" w:color="auto"/>
            </w:tcBorders>
            <w:shd w:val="clear" w:color="auto" w:fill="auto"/>
            <w:noWrap/>
            <w:vAlign w:val="center"/>
            <w:hideMark/>
          </w:tcPr>
          <w:p w14:paraId="73E76E28" w14:textId="5D2A895B" w:rsidR="009E6EA7" w:rsidRPr="009E6EA7" w:rsidRDefault="009E6EA7" w:rsidP="009E6EA7">
            <w:pPr>
              <w:jc w:val="center"/>
              <w:rPr>
                <w:color w:val="000000"/>
                <w:sz w:val="20"/>
                <w:szCs w:val="20"/>
              </w:rPr>
            </w:pPr>
            <w:r w:rsidRPr="009E6EA7">
              <w:rPr>
                <w:color w:val="000000"/>
                <w:sz w:val="20"/>
                <w:szCs w:val="20"/>
              </w:rPr>
              <w:t xml:space="preserve">The curriculum was assessed by two multiple-choice questions on education delivery, one before the pandemic and one during the pandemic. We asked respondents to choose as many answers as eight educational delivery methods both pre and since COVID: In-person lectures, in-person team based/group learning, laboratory sessions, simulations, online modules, online lectures, in-person clinicals/patient interaction, telehealth clinicals/patient interaction. </w:t>
            </w:r>
            <w:r w:rsidRPr="009E6EA7">
              <w:rPr>
                <w:color w:val="000000"/>
                <w:sz w:val="20"/>
                <w:szCs w:val="20"/>
              </w:rPr>
              <w:br/>
              <w:t xml:space="preserve">A 9th option of “other” allowed respondents to describe the delivery method. To get a broader perspective on the curriculum changes, one questions (Q3, Q4) addressed the curriculum's overall changes since the beginning of the pandemic and another question on changes in examination procedures. For Q3, choices include: Education is indefinitely cancelled, students cannot participate in direct patient care, classes have been moved online, students have been asked to participate in non-direct patient care (telehealth, patient hotlines, etc), students are being graduated early to help with the COVD crisis, none. Q4 options included: exams are continuing as planned (no changes to format or dates), exams will be held after the lockdown is over, exams have been indefinitely cancelled, exams take place online, national board exams were postponed, national board exams have been completely waived. </w:t>
            </w:r>
            <w:r w:rsidRPr="009E6EA7">
              <w:rPr>
                <w:color w:val="000000"/>
                <w:sz w:val="20"/>
                <w:szCs w:val="20"/>
              </w:rPr>
              <w:br/>
              <w:t xml:space="preserve">Q5 choices were: No online education, Skype, Zoom, Google Hangout, Microsoft Teams, Blackboard. </w:t>
            </w:r>
            <w:r w:rsidRPr="009E6EA7">
              <w:rPr>
                <w:color w:val="000000"/>
                <w:sz w:val="20"/>
                <w:szCs w:val="20"/>
              </w:rPr>
              <w:br/>
              <w:t>Participants had the option of writing a free-form text to answer if the options listed did not fit their situation.</w:t>
            </w:r>
          </w:p>
        </w:tc>
      </w:tr>
      <w:tr w:rsidR="009E6EA7" w:rsidRPr="009E6EA7" w14:paraId="4EA9304C" w14:textId="77777777" w:rsidTr="00C47996">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FF9B5B4" w14:textId="77777777" w:rsidR="009E6EA7" w:rsidRPr="009E6EA7" w:rsidRDefault="009E6EA7" w:rsidP="009E6EA7">
            <w:pPr>
              <w:jc w:val="center"/>
              <w:rPr>
                <w:color w:val="000000"/>
                <w:sz w:val="20"/>
                <w:szCs w:val="20"/>
              </w:rPr>
            </w:pPr>
            <w:r w:rsidRPr="009E6EA7">
              <w:rPr>
                <w:color w:val="000000"/>
                <w:sz w:val="20"/>
                <w:szCs w:val="20"/>
              </w:rPr>
              <w:t>Barriers to education</w:t>
            </w:r>
          </w:p>
        </w:tc>
        <w:tc>
          <w:tcPr>
            <w:tcW w:w="3325" w:type="dxa"/>
            <w:tcBorders>
              <w:top w:val="nil"/>
              <w:left w:val="nil"/>
              <w:bottom w:val="single" w:sz="4" w:space="0" w:color="auto"/>
              <w:right w:val="single" w:sz="4" w:space="0" w:color="auto"/>
            </w:tcBorders>
            <w:shd w:val="clear" w:color="auto" w:fill="auto"/>
            <w:noWrap/>
            <w:vAlign w:val="center"/>
            <w:hideMark/>
          </w:tcPr>
          <w:p w14:paraId="19BC80FA" w14:textId="77777777" w:rsidR="009E6EA7" w:rsidRPr="009E6EA7" w:rsidRDefault="009E6EA7" w:rsidP="009E6EA7">
            <w:pPr>
              <w:jc w:val="center"/>
              <w:rPr>
                <w:color w:val="000000"/>
                <w:sz w:val="20"/>
                <w:szCs w:val="20"/>
              </w:rPr>
            </w:pPr>
            <w:r w:rsidRPr="009E6EA7">
              <w:rPr>
                <w:color w:val="000000"/>
                <w:sz w:val="20"/>
                <w:szCs w:val="20"/>
              </w:rPr>
              <w:t>Q6: What have been some of the barriers to learning you have experienced during the COVID pandemic?</w:t>
            </w:r>
          </w:p>
        </w:tc>
        <w:tc>
          <w:tcPr>
            <w:tcW w:w="4240" w:type="dxa"/>
            <w:tcBorders>
              <w:top w:val="nil"/>
              <w:left w:val="nil"/>
              <w:bottom w:val="single" w:sz="4" w:space="0" w:color="auto"/>
              <w:right w:val="single" w:sz="4" w:space="0" w:color="auto"/>
            </w:tcBorders>
            <w:shd w:val="clear" w:color="auto" w:fill="auto"/>
            <w:noWrap/>
            <w:vAlign w:val="center"/>
            <w:hideMark/>
          </w:tcPr>
          <w:p w14:paraId="208B8F2D" w14:textId="77777777" w:rsidR="008E2D1E" w:rsidRDefault="009E6EA7" w:rsidP="008E2D1E">
            <w:pPr>
              <w:jc w:val="center"/>
              <w:rPr>
                <w:color w:val="000000"/>
                <w:sz w:val="20"/>
                <w:szCs w:val="20"/>
              </w:rPr>
            </w:pPr>
            <w:r w:rsidRPr="009E6EA7">
              <w:rPr>
                <w:color w:val="000000"/>
                <w:sz w:val="20"/>
                <w:szCs w:val="20"/>
              </w:rPr>
              <w:t>Educational barriers were evaluated with one multiple choice question with barriers: limited internet accessibility, limited access to an internet device (phone, tablet, laptop, or PC), limited IT knowledge, lack of infrastructure at university, extra costs, not being able to work with and learn from patients, limited opportunity to improve skill set (suturing, lab work, etc), limited access to residents or faculty, limited interactions with classmates.</w:t>
            </w:r>
            <w:r w:rsidRPr="009E6EA7">
              <w:rPr>
                <w:color w:val="000000"/>
                <w:sz w:val="20"/>
                <w:szCs w:val="20"/>
              </w:rPr>
              <w:br/>
              <w:t xml:space="preserve"> There was an option to write in free form text as an “other” response.</w:t>
            </w:r>
          </w:p>
          <w:p w14:paraId="1EEBB901" w14:textId="77777777" w:rsidR="008E2D1E" w:rsidRDefault="008E2D1E" w:rsidP="008E2D1E">
            <w:pPr>
              <w:jc w:val="center"/>
              <w:rPr>
                <w:color w:val="000000"/>
                <w:sz w:val="20"/>
                <w:szCs w:val="20"/>
              </w:rPr>
            </w:pPr>
          </w:p>
          <w:p w14:paraId="2CB9FFA6" w14:textId="77777777" w:rsidR="008E2D1E" w:rsidRDefault="008E2D1E" w:rsidP="008E2D1E">
            <w:pPr>
              <w:jc w:val="center"/>
              <w:rPr>
                <w:color w:val="000000"/>
                <w:sz w:val="20"/>
                <w:szCs w:val="20"/>
              </w:rPr>
            </w:pPr>
          </w:p>
          <w:p w14:paraId="40FFCE01" w14:textId="77777777" w:rsidR="008E2D1E" w:rsidRDefault="008E2D1E" w:rsidP="008E2D1E">
            <w:pPr>
              <w:jc w:val="center"/>
              <w:rPr>
                <w:color w:val="000000"/>
                <w:sz w:val="20"/>
                <w:szCs w:val="20"/>
              </w:rPr>
            </w:pPr>
          </w:p>
          <w:p w14:paraId="701BB8D2" w14:textId="77777777" w:rsidR="008E2D1E" w:rsidRDefault="008E2D1E" w:rsidP="008E2D1E">
            <w:pPr>
              <w:jc w:val="center"/>
              <w:rPr>
                <w:color w:val="000000"/>
                <w:sz w:val="20"/>
                <w:szCs w:val="20"/>
              </w:rPr>
            </w:pPr>
          </w:p>
          <w:p w14:paraId="6FACAE57" w14:textId="308EC4AC" w:rsidR="008E2D1E" w:rsidRPr="009E6EA7" w:rsidRDefault="008E2D1E" w:rsidP="008E2D1E">
            <w:pPr>
              <w:jc w:val="center"/>
              <w:rPr>
                <w:color w:val="000000"/>
                <w:sz w:val="20"/>
                <w:szCs w:val="20"/>
              </w:rPr>
            </w:pPr>
          </w:p>
        </w:tc>
      </w:tr>
      <w:tr w:rsidR="009E6EA7" w:rsidRPr="009E6EA7" w14:paraId="5E7F8A4F" w14:textId="77777777" w:rsidTr="00C47996">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9D21712" w14:textId="77777777" w:rsidR="008E2D1E" w:rsidRDefault="008E2D1E" w:rsidP="009E6EA7">
            <w:pPr>
              <w:jc w:val="center"/>
              <w:rPr>
                <w:color w:val="000000"/>
                <w:sz w:val="20"/>
                <w:szCs w:val="20"/>
              </w:rPr>
            </w:pPr>
          </w:p>
          <w:p w14:paraId="097AFA46" w14:textId="77777777" w:rsidR="008E2D1E" w:rsidRDefault="008E2D1E" w:rsidP="009E6EA7">
            <w:pPr>
              <w:jc w:val="center"/>
              <w:rPr>
                <w:color w:val="000000"/>
                <w:sz w:val="20"/>
                <w:szCs w:val="20"/>
              </w:rPr>
            </w:pPr>
          </w:p>
          <w:p w14:paraId="4BAEB4A4" w14:textId="6BCBEE1F" w:rsidR="009E6EA7" w:rsidRPr="009E6EA7" w:rsidRDefault="009E6EA7" w:rsidP="009E6EA7">
            <w:pPr>
              <w:jc w:val="center"/>
              <w:rPr>
                <w:color w:val="000000"/>
                <w:sz w:val="20"/>
                <w:szCs w:val="20"/>
              </w:rPr>
            </w:pPr>
            <w:r w:rsidRPr="009E6EA7">
              <w:rPr>
                <w:color w:val="000000"/>
                <w:sz w:val="20"/>
                <w:szCs w:val="20"/>
              </w:rPr>
              <w:t>COVID-19 activities</w:t>
            </w:r>
          </w:p>
        </w:tc>
        <w:tc>
          <w:tcPr>
            <w:tcW w:w="3325" w:type="dxa"/>
            <w:tcBorders>
              <w:top w:val="nil"/>
              <w:left w:val="nil"/>
              <w:bottom w:val="single" w:sz="4" w:space="0" w:color="auto"/>
              <w:right w:val="single" w:sz="4" w:space="0" w:color="auto"/>
            </w:tcBorders>
            <w:shd w:val="clear" w:color="auto" w:fill="auto"/>
            <w:noWrap/>
            <w:vAlign w:val="center"/>
            <w:hideMark/>
          </w:tcPr>
          <w:p w14:paraId="27B3BABF" w14:textId="77777777" w:rsidR="008E2D1E" w:rsidRDefault="008E2D1E" w:rsidP="009E6EA7">
            <w:pPr>
              <w:jc w:val="center"/>
              <w:rPr>
                <w:color w:val="000000"/>
                <w:sz w:val="20"/>
                <w:szCs w:val="20"/>
              </w:rPr>
            </w:pPr>
          </w:p>
          <w:p w14:paraId="3FEDEB63" w14:textId="77777777" w:rsidR="008E2D1E" w:rsidRDefault="008E2D1E" w:rsidP="009E6EA7">
            <w:pPr>
              <w:jc w:val="center"/>
              <w:rPr>
                <w:color w:val="000000"/>
                <w:sz w:val="20"/>
                <w:szCs w:val="20"/>
              </w:rPr>
            </w:pPr>
          </w:p>
          <w:p w14:paraId="0854DA0A" w14:textId="350FF31A" w:rsidR="009E6EA7" w:rsidRPr="009E6EA7" w:rsidRDefault="009E6EA7" w:rsidP="009E6EA7">
            <w:pPr>
              <w:jc w:val="center"/>
              <w:rPr>
                <w:color w:val="000000"/>
                <w:sz w:val="20"/>
                <w:szCs w:val="20"/>
              </w:rPr>
            </w:pPr>
            <w:r w:rsidRPr="009E6EA7">
              <w:rPr>
                <w:color w:val="000000"/>
                <w:sz w:val="20"/>
                <w:szCs w:val="20"/>
              </w:rPr>
              <w:t xml:space="preserve">Q7: Have you taken up any additional (outside of University) educational activities? </w:t>
            </w:r>
            <w:r w:rsidRPr="009E6EA7">
              <w:rPr>
                <w:color w:val="000000"/>
                <w:sz w:val="20"/>
                <w:szCs w:val="20"/>
              </w:rPr>
              <w:br/>
              <w:t>Q8: What COVID related activities are you a part of?</w:t>
            </w:r>
          </w:p>
        </w:tc>
        <w:tc>
          <w:tcPr>
            <w:tcW w:w="4240" w:type="dxa"/>
            <w:tcBorders>
              <w:top w:val="nil"/>
              <w:left w:val="nil"/>
              <w:bottom w:val="single" w:sz="4" w:space="0" w:color="auto"/>
              <w:right w:val="single" w:sz="4" w:space="0" w:color="auto"/>
            </w:tcBorders>
            <w:shd w:val="clear" w:color="auto" w:fill="auto"/>
            <w:noWrap/>
            <w:vAlign w:val="center"/>
            <w:hideMark/>
          </w:tcPr>
          <w:p w14:paraId="7D926378" w14:textId="77777777" w:rsidR="008E2D1E" w:rsidRDefault="008E2D1E" w:rsidP="009E6EA7">
            <w:pPr>
              <w:jc w:val="center"/>
              <w:rPr>
                <w:color w:val="000000"/>
                <w:sz w:val="20"/>
                <w:szCs w:val="20"/>
              </w:rPr>
            </w:pPr>
          </w:p>
          <w:p w14:paraId="13A1B14B" w14:textId="77777777" w:rsidR="008E2D1E" w:rsidRDefault="008E2D1E" w:rsidP="009E6EA7">
            <w:pPr>
              <w:jc w:val="center"/>
              <w:rPr>
                <w:color w:val="000000"/>
                <w:sz w:val="20"/>
                <w:szCs w:val="20"/>
              </w:rPr>
            </w:pPr>
          </w:p>
          <w:p w14:paraId="5C96CBC9" w14:textId="77777777" w:rsidR="008E2D1E" w:rsidRDefault="008E2D1E" w:rsidP="009E6EA7">
            <w:pPr>
              <w:jc w:val="center"/>
              <w:rPr>
                <w:color w:val="000000"/>
                <w:sz w:val="20"/>
                <w:szCs w:val="20"/>
              </w:rPr>
            </w:pPr>
          </w:p>
          <w:p w14:paraId="3A3D58AC" w14:textId="3D1B54F3" w:rsidR="009E6EA7" w:rsidRPr="009E6EA7" w:rsidRDefault="009E6EA7" w:rsidP="009E6EA7">
            <w:pPr>
              <w:jc w:val="center"/>
              <w:rPr>
                <w:color w:val="000000"/>
                <w:sz w:val="20"/>
                <w:szCs w:val="20"/>
              </w:rPr>
            </w:pPr>
            <w:r w:rsidRPr="009E6EA7">
              <w:rPr>
                <w:color w:val="000000"/>
                <w:sz w:val="20"/>
                <w:szCs w:val="20"/>
              </w:rPr>
              <w:t xml:space="preserve">To characterize the variety of COVID-19 related activities students were involved with as part of the health professional pandemic response, we asked respondents to select from a non-patient care list (online courses, research project(s), online lectures/webinars) and community response activities (COVID hotlines, COVID related research, Supporting frontline healthcare professionals [babysitting, grocery shopping, etc], working with local blood banks, working with local nursing homes, community support [food distribution, grocery pick up for elders, etc], helping produce local protective materials [sanitizers, face masks, etc]). There was aa write-in option for “other” responses. </w:t>
            </w:r>
          </w:p>
        </w:tc>
      </w:tr>
      <w:tr w:rsidR="009E6EA7" w:rsidRPr="009E6EA7" w14:paraId="412BBD88" w14:textId="77777777" w:rsidTr="00C47996">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DE9F202" w14:textId="77777777" w:rsidR="009E6EA7" w:rsidRPr="009E6EA7" w:rsidRDefault="009E6EA7" w:rsidP="009E6EA7">
            <w:pPr>
              <w:jc w:val="center"/>
              <w:rPr>
                <w:color w:val="000000"/>
                <w:sz w:val="20"/>
                <w:szCs w:val="20"/>
              </w:rPr>
            </w:pPr>
            <w:r w:rsidRPr="009E6EA7">
              <w:rPr>
                <w:color w:val="000000"/>
                <w:sz w:val="20"/>
                <w:szCs w:val="20"/>
              </w:rPr>
              <w:t>Perceptions of education</w:t>
            </w:r>
          </w:p>
        </w:tc>
        <w:tc>
          <w:tcPr>
            <w:tcW w:w="3325" w:type="dxa"/>
            <w:tcBorders>
              <w:top w:val="nil"/>
              <w:left w:val="nil"/>
              <w:bottom w:val="single" w:sz="4" w:space="0" w:color="auto"/>
              <w:right w:val="single" w:sz="4" w:space="0" w:color="auto"/>
            </w:tcBorders>
            <w:shd w:val="clear" w:color="auto" w:fill="auto"/>
            <w:noWrap/>
            <w:vAlign w:val="center"/>
            <w:hideMark/>
          </w:tcPr>
          <w:p w14:paraId="72F6137C" w14:textId="77777777" w:rsidR="009E6EA7" w:rsidRPr="009E6EA7" w:rsidRDefault="009E6EA7" w:rsidP="009E6EA7">
            <w:pPr>
              <w:jc w:val="center"/>
              <w:rPr>
                <w:color w:val="000000"/>
                <w:sz w:val="20"/>
                <w:szCs w:val="20"/>
              </w:rPr>
            </w:pPr>
            <w:r w:rsidRPr="009E6EA7">
              <w:rPr>
                <w:color w:val="000000"/>
                <w:sz w:val="20"/>
                <w:szCs w:val="20"/>
              </w:rPr>
              <w:t>Q9: How would you rate the quality of the new form education?*</w:t>
            </w:r>
            <w:r w:rsidRPr="009E6EA7">
              <w:rPr>
                <w:color w:val="000000"/>
                <w:sz w:val="20"/>
                <w:szCs w:val="20"/>
              </w:rPr>
              <w:br/>
              <w:t>Q10: How satisfied are you with how your institution has responded to this pandemic in terms of educational activities?** Q11: Are you motivated to engage in your education during this pandemic? ***</w:t>
            </w:r>
          </w:p>
        </w:tc>
        <w:tc>
          <w:tcPr>
            <w:tcW w:w="4240" w:type="dxa"/>
            <w:tcBorders>
              <w:top w:val="nil"/>
              <w:left w:val="nil"/>
              <w:bottom w:val="single" w:sz="4" w:space="0" w:color="auto"/>
              <w:right w:val="single" w:sz="4" w:space="0" w:color="auto"/>
            </w:tcBorders>
            <w:shd w:val="clear" w:color="auto" w:fill="auto"/>
            <w:noWrap/>
            <w:vAlign w:val="center"/>
            <w:hideMark/>
          </w:tcPr>
          <w:p w14:paraId="6556774D" w14:textId="77777777" w:rsidR="009E6EA7" w:rsidRPr="009E6EA7" w:rsidRDefault="009E6EA7" w:rsidP="009E6EA7">
            <w:pPr>
              <w:jc w:val="center"/>
              <w:rPr>
                <w:color w:val="000000"/>
                <w:sz w:val="20"/>
                <w:szCs w:val="20"/>
              </w:rPr>
            </w:pPr>
            <w:r w:rsidRPr="009E6EA7">
              <w:rPr>
                <w:color w:val="000000"/>
                <w:sz w:val="20"/>
                <w:szCs w:val="20"/>
              </w:rPr>
              <w:t>Health professional students' perceptions of their education were evaluated by three questions on a 5-point Likert scale.</w:t>
            </w:r>
          </w:p>
        </w:tc>
      </w:tr>
      <w:tr w:rsidR="009E6EA7" w:rsidRPr="009E6EA7" w14:paraId="416F93CC" w14:textId="77777777" w:rsidTr="00C47996">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612EE36" w14:textId="77777777" w:rsidR="009E6EA7" w:rsidRPr="009E6EA7" w:rsidRDefault="009E6EA7" w:rsidP="009E6EA7">
            <w:pPr>
              <w:jc w:val="center"/>
              <w:rPr>
                <w:color w:val="000000"/>
                <w:sz w:val="20"/>
                <w:szCs w:val="20"/>
              </w:rPr>
            </w:pPr>
            <w:r w:rsidRPr="009E6EA7">
              <w:rPr>
                <w:color w:val="000000"/>
                <w:sz w:val="20"/>
                <w:szCs w:val="20"/>
              </w:rPr>
              <w:t>Other Questions</w:t>
            </w:r>
          </w:p>
        </w:tc>
        <w:tc>
          <w:tcPr>
            <w:tcW w:w="3325" w:type="dxa"/>
            <w:tcBorders>
              <w:top w:val="nil"/>
              <w:left w:val="nil"/>
              <w:bottom w:val="single" w:sz="4" w:space="0" w:color="auto"/>
              <w:right w:val="single" w:sz="4" w:space="0" w:color="auto"/>
            </w:tcBorders>
            <w:shd w:val="clear" w:color="auto" w:fill="auto"/>
            <w:noWrap/>
            <w:vAlign w:val="center"/>
            <w:hideMark/>
          </w:tcPr>
          <w:p w14:paraId="5F49655B" w14:textId="77777777" w:rsidR="009E6EA7" w:rsidRPr="009E6EA7" w:rsidRDefault="009E6EA7" w:rsidP="009E6EA7">
            <w:pPr>
              <w:jc w:val="center"/>
              <w:rPr>
                <w:color w:val="000000"/>
                <w:sz w:val="20"/>
                <w:szCs w:val="20"/>
              </w:rPr>
            </w:pPr>
            <w:r w:rsidRPr="009E6EA7">
              <w:rPr>
                <w:color w:val="000000"/>
                <w:sz w:val="20"/>
                <w:szCs w:val="20"/>
              </w:rPr>
              <w:t>Q12: What do you think need to be improved at your University to better its response to the pandemic?</w:t>
            </w:r>
            <w:r w:rsidRPr="009E6EA7">
              <w:rPr>
                <w:color w:val="000000"/>
                <w:sz w:val="20"/>
                <w:szCs w:val="20"/>
              </w:rPr>
              <w:br/>
              <w:t xml:space="preserve">Q13: What other comennts would you like to share about your educational experience? </w:t>
            </w:r>
          </w:p>
        </w:tc>
        <w:tc>
          <w:tcPr>
            <w:tcW w:w="4240" w:type="dxa"/>
            <w:tcBorders>
              <w:top w:val="nil"/>
              <w:left w:val="nil"/>
              <w:bottom w:val="single" w:sz="4" w:space="0" w:color="auto"/>
              <w:right w:val="single" w:sz="4" w:space="0" w:color="auto"/>
            </w:tcBorders>
            <w:shd w:val="clear" w:color="auto" w:fill="auto"/>
            <w:noWrap/>
            <w:vAlign w:val="center"/>
            <w:hideMark/>
          </w:tcPr>
          <w:p w14:paraId="1DC248CD" w14:textId="77777777" w:rsidR="009E6EA7" w:rsidRPr="009E6EA7" w:rsidRDefault="009E6EA7" w:rsidP="009E6EA7">
            <w:pPr>
              <w:rPr>
                <w:color w:val="000000"/>
                <w:sz w:val="20"/>
                <w:szCs w:val="20"/>
              </w:rPr>
            </w:pPr>
            <w:r w:rsidRPr="009E6EA7">
              <w:rPr>
                <w:color w:val="000000"/>
                <w:sz w:val="20"/>
                <w:szCs w:val="20"/>
              </w:rPr>
              <w:t>Finally, we asked respondents two open-ended questions. The first question asked what improvements need to be made at their university to improve their response to the pandemic. The second question asked for comments on their educational experiences not captured in the pre-formed questions.</w:t>
            </w:r>
          </w:p>
        </w:tc>
      </w:tr>
      <w:tr w:rsidR="009E6EA7" w:rsidRPr="009E6EA7" w14:paraId="5B6A49E2" w14:textId="77777777" w:rsidTr="00C47996">
        <w:trPr>
          <w:trHeight w:val="300"/>
          <w:jc w:val="center"/>
        </w:trPr>
        <w:tc>
          <w:tcPr>
            <w:tcW w:w="8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5E335" w14:textId="77777777" w:rsidR="009E6EA7" w:rsidRPr="009E6EA7" w:rsidRDefault="009E6EA7" w:rsidP="009E6EA7">
            <w:pPr>
              <w:jc w:val="center"/>
              <w:rPr>
                <w:color w:val="000000"/>
                <w:sz w:val="20"/>
                <w:szCs w:val="20"/>
              </w:rPr>
            </w:pPr>
            <w:r w:rsidRPr="009E6EA7">
              <w:rPr>
                <w:color w:val="000000"/>
                <w:sz w:val="20"/>
                <w:szCs w:val="20"/>
              </w:rPr>
              <w:t>*Likert Scales: 1 = Very poor, 2 = Below average, 3= Average, 4 = Above average, 5 = Excellent</w:t>
            </w:r>
            <w:r w:rsidRPr="009E6EA7">
              <w:rPr>
                <w:color w:val="000000"/>
                <w:sz w:val="20"/>
                <w:szCs w:val="20"/>
              </w:rPr>
              <w:br/>
              <w:t>** 1 = Not at all, 2 = Slightly, 3 = Moderately, 4 = Very, 5 = Extremely</w:t>
            </w:r>
            <w:r w:rsidRPr="009E6EA7">
              <w:rPr>
                <w:color w:val="000000"/>
                <w:sz w:val="20"/>
                <w:szCs w:val="20"/>
              </w:rPr>
              <w:br/>
              <w:t>*** 1 = Not at all motivated to 5 = Very motivated</w:t>
            </w:r>
          </w:p>
        </w:tc>
      </w:tr>
    </w:tbl>
    <w:p w14:paraId="520CF5A3" w14:textId="4F9B4860" w:rsidR="00E03717" w:rsidRPr="00B841CE" w:rsidRDefault="00E03717" w:rsidP="00B63B59">
      <w:pPr>
        <w:contextualSpacing/>
        <w:mirrorIndents/>
        <w:jc w:val="both"/>
        <w:rPr>
          <w:sz w:val="20"/>
          <w:szCs w:val="20"/>
          <w:highlight w:val="white"/>
        </w:rPr>
      </w:pPr>
    </w:p>
    <w:p w14:paraId="4E1B4FBD" w14:textId="73C84C76" w:rsidR="00091EC2" w:rsidRPr="002641D7" w:rsidRDefault="00091EC2" w:rsidP="00671676">
      <w:pPr>
        <w:contextualSpacing/>
        <w:mirrorIndents/>
        <w:jc w:val="center"/>
        <w:rPr>
          <w:sz w:val="20"/>
          <w:szCs w:val="20"/>
          <w:highlight w:val="white"/>
        </w:rPr>
      </w:pPr>
      <w:r w:rsidRPr="001C4901">
        <w:rPr>
          <w:b/>
          <w:sz w:val="20"/>
          <w:szCs w:val="20"/>
          <w:highlight w:val="white"/>
        </w:rPr>
        <w:t xml:space="preserve">Table 1: </w:t>
      </w:r>
      <w:r w:rsidRPr="002641D7">
        <w:rPr>
          <w:sz w:val="20"/>
          <w:szCs w:val="20"/>
          <w:highlight w:val="white"/>
        </w:rPr>
        <w:t>Indicators of Health Professional Student Experiences</w:t>
      </w:r>
      <w:r w:rsidR="004731D8" w:rsidRPr="002641D7">
        <w:rPr>
          <w:sz w:val="20"/>
          <w:szCs w:val="20"/>
          <w:highlight w:val="white"/>
        </w:rPr>
        <w:t>.</w:t>
      </w:r>
    </w:p>
    <w:p w14:paraId="5702A8EC" w14:textId="50D40DDF" w:rsidR="005B3FC2" w:rsidRPr="001C4901" w:rsidRDefault="005B3FC2" w:rsidP="00B63B59">
      <w:pPr>
        <w:contextualSpacing/>
        <w:mirrorIndents/>
        <w:jc w:val="both"/>
        <w:rPr>
          <w:sz w:val="20"/>
          <w:szCs w:val="20"/>
        </w:rPr>
      </w:pPr>
    </w:p>
    <w:p w14:paraId="1C175634" w14:textId="77777777" w:rsidR="005B3FC2" w:rsidRPr="001C4901" w:rsidRDefault="005B3FC2" w:rsidP="00B63B59">
      <w:pPr>
        <w:contextualSpacing/>
        <w:mirrorIndents/>
        <w:jc w:val="both"/>
        <w:rPr>
          <w:sz w:val="20"/>
          <w:szCs w:val="20"/>
        </w:rPr>
      </w:pPr>
      <w:r w:rsidRPr="001C4901">
        <w:rPr>
          <w:sz w:val="20"/>
          <w:szCs w:val="20"/>
        </w:rPr>
        <w:t xml:space="preserve">The survey was sent by email three times between May 24, 2020, and June 22, 2020, to all registered SNO students on the TUFH.org platform on May 24, 2020. The survey was also announced once on SNO's social media platforms (Facebook, Instagram, </w:t>
      </w:r>
      <w:proofErr w:type="gramStart"/>
      <w:r w:rsidRPr="001C4901">
        <w:rPr>
          <w:sz w:val="20"/>
          <w:szCs w:val="20"/>
        </w:rPr>
        <w:t>Twitter</w:t>
      </w:r>
      <w:proofErr w:type="gramEnd"/>
      <w:r w:rsidRPr="001C4901">
        <w:rPr>
          <w:sz w:val="20"/>
          <w:szCs w:val="20"/>
        </w:rPr>
        <w:t>). Only registered SNO members could access the survey. We collected survey data through the Google Surveys platform.</w:t>
      </w:r>
      <w:r w:rsidRPr="001C4901">
        <w:rPr>
          <w:sz w:val="20"/>
          <w:szCs w:val="20"/>
        </w:rPr>
        <w:fldChar w:fldCharType="begin"/>
      </w:r>
      <w:r w:rsidRPr="001C4901">
        <w:rPr>
          <w:sz w:val="20"/>
          <w:szCs w:val="20"/>
        </w:rPr>
        <w:instrText xml:space="preserve"> ADDIN ZOTERO_ITEM CSL_CITATION {"citationID":"A55R0Opb","properties":{"formattedCitation":"\\super 9\\nosupersub{}","plainCitation":"9","noteIndex":0},"citationItems":[{"id":2396,"uris":["http://zotero.org/users/2922900/items/CF7WJ5XS"],"uri":["http://zotero.org/users/2922900/items/CF7WJ5XS"],"itemData":{"id":2396,"type":"webpage","title":"Methodology - Google Surveys Help","URL":"https://support.google.com/surveys/answer/6189786","accessed":{"date-parts":[["2021",1,22]]}}}],"schema":"https://github.com/citation-style-language/schema/raw/master/csl-citation.json"} </w:instrText>
      </w:r>
      <w:r w:rsidRPr="001C4901">
        <w:rPr>
          <w:sz w:val="20"/>
          <w:szCs w:val="20"/>
        </w:rPr>
        <w:fldChar w:fldCharType="separate"/>
      </w:r>
      <w:r w:rsidRPr="001C4901">
        <w:rPr>
          <w:sz w:val="20"/>
          <w:szCs w:val="20"/>
          <w:vertAlign w:val="superscript"/>
        </w:rPr>
        <w:t>9</w:t>
      </w:r>
      <w:r w:rsidRPr="001C4901">
        <w:rPr>
          <w:sz w:val="20"/>
          <w:szCs w:val="20"/>
        </w:rPr>
        <w:fldChar w:fldCharType="end"/>
      </w:r>
      <w:r w:rsidRPr="001C4901">
        <w:rPr>
          <w:sz w:val="20"/>
          <w:szCs w:val="20"/>
        </w:rPr>
        <w:t xml:space="preserve"> </w:t>
      </w:r>
    </w:p>
    <w:p w14:paraId="4652D505" w14:textId="77777777" w:rsidR="00E03717" w:rsidRPr="001C4901" w:rsidRDefault="00E03717" w:rsidP="00B63B59">
      <w:pPr>
        <w:contextualSpacing/>
        <w:mirrorIndents/>
        <w:jc w:val="both"/>
        <w:rPr>
          <w:sz w:val="20"/>
          <w:szCs w:val="20"/>
        </w:rPr>
      </w:pPr>
    </w:p>
    <w:p w14:paraId="72C2E945" w14:textId="08B841B2" w:rsidR="005B3FC2" w:rsidRPr="001C4901" w:rsidRDefault="00A120A9" w:rsidP="00B63B59">
      <w:pPr>
        <w:contextualSpacing/>
        <w:mirrorIndents/>
        <w:jc w:val="both"/>
        <w:rPr>
          <w:b/>
          <w:sz w:val="20"/>
          <w:szCs w:val="20"/>
        </w:rPr>
      </w:pPr>
      <w:r>
        <w:rPr>
          <w:b/>
          <w:sz w:val="20"/>
          <w:szCs w:val="20"/>
        </w:rPr>
        <w:t>Data A</w:t>
      </w:r>
      <w:r w:rsidR="005B3FC2" w:rsidRPr="001C4901">
        <w:rPr>
          <w:b/>
          <w:sz w:val="20"/>
          <w:szCs w:val="20"/>
        </w:rPr>
        <w:t>nalysis</w:t>
      </w:r>
    </w:p>
    <w:p w14:paraId="3A7BEEB5" w14:textId="77777777" w:rsidR="00E03717" w:rsidRPr="001C4901" w:rsidRDefault="00E03717" w:rsidP="00B63B59">
      <w:pPr>
        <w:contextualSpacing/>
        <w:mirrorIndents/>
        <w:jc w:val="both"/>
        <w:rPr>
          <w:sz w:val="20"/>
          <w:szCs w:val="20"/>
        </w:rPr>
      </w:pPr>
    </w:p>
    <w:p w14:paraId="3F816C4C" w14:textId="0B922EA4" w:rsidR="005B3FC2" w:rsidRPr="001C4901" w:rsidRDefault="005B3FC2" w:rsidP="00B63B59">
      <w:pPr>
        <w:contextualSpacing/>
        <w:mirrorIndents/>
        <w:jc w:val="both"/>
        <w:rPr>
          <w:sz w:val="20"/>
          <w:szCs w:val="20"/>
          <w:highlight w:val="white"/>
        </w:rPr>
      </w:pPr>
      <w:r w:rsidRPr="001C4901">
        <w:rPr>
          <w:sz w:val="20"/>
          <w:szCs w:val="20"/>
        </w:rPr>
        <w:t xml:space="preserve">Data were collected by one researcher (VD) collected data and removed any potentially identifying information. </w:t>
      </w:r>
      <w:r w:rsidRPr="001C4901">
        <w:rPr>
          <w:sz w:val="20"/>
          <w:szCs w:val="20"/>
          <w:highlight w:val="white"/>
        </w:rPr>
        <w:t>For open-ended questions, we used a qualitative analytic approach. We grouped open-ended responses into the most common answer choices and themes using a consensus approach (V.D., WA). Researchers independently identified the themes and then compared them to create unified themes, which would allow for a thematic analysis of the responses. Responses were categorized by regions as defined by the Network TUFH to maintain consistency with responses from The Network TUFH SNO members. Countries were categorized as high, middle, or low income based on the World Bank definition</w:t>
      </w:r>
      <w:r w:rsidR="001C4901" w:rsidRPr="001C4901">
        <w:rPr>
          <w:sz w:val="20"/>
          <w:szCs w:val="20"/>
          <w:highlight w:val="white"/>
        </w:rPr>
        <w:t xml:space="preserve"> </w:t>
      </w:r>
      <w:r w:rsidR="001C4901" w:rsidRPr="001C4901">
        <w:rPr>
          <w:color w:val="FF0000"/>
          <w:sz w:val="20"/>
          <w:szCs w:val="20"/>
          <w:highlight w:val="white"/>
        </w:rPr>
        <w:t>[10]</w:t>
      </w:r>
      <w:r w:rsidRPr="001C4901">
        <w:rPr>
          <w:sz w:val="20"/>
          <w:szCs w:val="20"/>
          <w:highlight w:val="white"/>
        </w:rPr>
        <w:t xml:space="preserve">. Students </w:t>
      </w:r>
      <w:r w:rsidR="00E84171" w:rsidRPr="001C4901">
        <w:rPr>
          <w:sz w:val="20"/>
          <w:szCs w:val="20"/>
          <w:highlight w:val="white"/>
        </w:rPr>
        <w:t>self-selected</w:t>
      </w:r>
      <w:r w:rsidRPr="001C4901">
        <w:rPr>
          <w:sz w:val="20"/>
          <w:szCs w:val="20"/>
          <w:highlight w:val="white"/>
        </w:rPr>
        <w:t xml:space="preserve"> their stage of education. For clarification, </w:t>
      </w:r>
      <w:r w:rsidRPr="001C4901">
        <w:rPr>
          <w:sz w:val="20"/>
          <w:szCs w:val="20"/>
          <w:highlight w:val="white"/>
        </w:rPr>
        <w:lastRenderedPageBreak/>
        <w:t xml:space="preserve">we defined medical undergraduate education as medical school for United States respondents and combine Baccalaureate and medical education for other schools. Frequencies are reported to give context to findings. </w:t>
      </w:r>
      <w:bookmarkStart w:id="3" w:name="_3znysh7" w:colFirst="0" w:colLast="0"/>
      <w:bookmarkEnd w:id="3"/>
    </w:p>
    <w:p w14:paraId="63247194" w14:textId="77777777" w:rsidR="005B3FC2" w:rsidRPr="001C4901" w:rsidRDefault="005B3FC2" w:rsidP="00B63B59">
      <w:pPr>
        <w:contextualSpacing/>
        <w:mirrorIndents/>
        <w:jc w:val="both"/>
        <w:rPr>
          <w:sz w:val="20"/>
          <w:szCs w:val="20"/>
        </w:rPr>
      </w:pPr>
    </w:p>
    <w:p w14:paraId="08263008" w14:textId="14C8F60D" w:rsidR="005B3FC2" w:rsidRPr="001C133C" w:rsidRDefault="009462F1" w:rsidP="00B63B59">
      <w:pPr>
        <w:pStyle w:val="Heading2"/>
        <w:spacing w:before="0"/>
        <w:contextualSpacing/>
        <w:mirrorIndents/>
        <w:jc w:val="both"/>
        <w:rPr>
          <w:rFonts w:ascii="Times New Roman" w:hAnsi="Times New Roman" w:cs="Times New Roman"/>
          <w:b/>
          <w:color w:val="auto"/>
          <w:sz w:val="22"/>
          <w:szCs w:val="22"/>
        </w:rPr>
      </w:pPr>
      <w:r w:rsidRPr="001C133C">
        <w:rPr>
          <w:rFonts w:ascii="Times New Roman" w:hAnsi="Times New Roman" w:cs="Times New Roman"/>
          <w:b/>
          <w:color w:val="auto"/>
          <w:sz w:val="22"/>
          <w:szCs w:val="22"/>
        </w:rPr>
        <w:t>Results</w:t>
      </w:r>
    </w:p>
    <w:p w14:paraId="3C0D60A6" w14:textId="77777777" w:rsidR="00E03717" w:rsidRPr="001C4901" w:rsidRDefault="00E03717" w:rsidP="00B63B59">
      <w:pPr>
        <w:contextualSpacing/>
        <w:mirrorIndents/>
        <w:jc w:val="both"/>
        <w:rPr>
          <w:sz w:val="20"/>
          <w:szCs w:val="20"/>
        </w:rPr>
      </w:pPr>
    </w:p>
    <w:p w14:paraId="3654ECFA" w14:textId="29E53ECE" w:rsidR="005B3FC2" w:rsidRDefault="005B3FC2" w:rsidP="00B63B59">
      <w:pPr>
        <w:contextualSpacing/>
        <w:mirrorIndents/>
        <w:jc w:val="both"/>
        <w:rPr>
          <w:sz w:val="20"/>
          <w:szCs w:val="20"/>
        </w:rPr>
      </w:pPr>
      <w:r w:rsidRPr="001C4901">
        <w:rPr>
          <w:sz w:val="20"/>
          <w:szCs w:val="20"/>
        </w:rPr>
        <w:t xml:space="preserve">There were 80 completed surveys (18% response rate, N, 438). We excluded two surveys, one based on the respondent not being a health sciences student (engineering), and the second due to not listing the country of education. A total of 78 surveys were analyzed. Responses generally reflected the broader SNO population, with deviations noted in the African, Eastern Mediterranean, and North American regions. </w:t>
      </w:r>
      <w:r w:rsidRPr="00E84171">
        <w:rPr>
          <w:color w:val="FF0000"/>
          <w:sz w:val="20"/>
          <w:szCs w:val="20"/>
        </w:rPr>
        <w:t>(Figure 1)</w:t>
      </w:r>
      <w:r w:rsidRPr="001C4901">
        <w:rPr>
          <w:sz w:val="20"/>
          <w:szCs w:val="20"/>
        </w:rPr>
        <w:t xml:space="preserve"> Responses total 15% (N, 12) from high income countries, 60% (N, 47) from middle-income countries, and 25% (N, 25) from low-income countries.</w:t>
      </w:r>
    </w:p>
    <w:p w14:paraId="5AA7208D" w14:textId="5898B882" w:rsidR="00D07D1C" w:rsidRDefault="00D07D1C" w:rsidP="00B63B59">
      <w:pPr>
        <w:contextualSpacing/>
        <w:mirrorIndents/>
        <w:jc w:val="both"/>
        <w:rPr>
          <w:sz w:val="20"/>
          <w:szCs w:val="20"/>
        </w:rPr>
      </w:pPr>
    </w:p>
    <w:p w14:paraId="75EB33A8" w14:textId="00E8747A" w:rsidR="00D07D1C" w:rsidRDefault="00D07D1C" w:rsidP="00D07D1C">
      <w:pPr>
        <w:contextualSpacing/>
        <w:mirrorIndents/>
        <w:jc w:val="center"/>
        <w:rPr>
          <w:sz w:val="20"/>
          <w:szCs w:val="20"/>
        </w:rPr>
      </w:pPr>
      <w:r w:rsidRPr="00D07D1C">
        <w:rPr>
          <w:noProof/>
          <w:sz w:val="20"/>
          <w:szCs w:val="20"/>
        </w:rPr>
        <w:drawing>
          <wp:inline distT="0" distB="0" distL="0" distR="0" wp14:anchorId="723EB684" wp14:editId="35D59F44">
            <wp:extent cx="4201954" cy="1937982"/>
            <wp:effectExtent l="0" t="0" r="8255" b="5715"/>
            <wp:docPr id="2" name="Picture 2" descr="D:\Journals All\2. International Journal of Community Medicine &amp; Public Health\Articles\IJCMPH-2021-18\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urnals All\2. International Journal of Community Medicine &amp; Public Health\Articles\IJCMPH-2021-18\fig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2879" cy="1943021"/>
                    </a:xfrm>
                    <a:prstGeom prst="rect">
                      <a:avLst/>
                    </a:prstGeom>
                    <a:noFill/>
                    <a:ln>
                      <a:noFill/>
                    </a:ln>
                  </pic:spPr>
                </pic:pic>
              </a:graphicData>
            </a:graphic>
          </wp:inline>
        </w:drawing>
      </w:r>
    </w:p>
    <w:p w14:paraId="70C9148E" w14:textId="77777777" w:rsidR="00645C52" w:rsidRDefault="00645C52" w:rsidP="00205FF4">
      <w:pPr>
        <w:contextualSpacing/>
        <w:mirrorIndents/>
        <w:jc w:val="both"/>
        <w:rPr>
          <w:sz w:val="20"/>
          <w:szCs w:val="20"/>
        </w:rPr>
      </w:pPr>
    </w:p>
    <w:p w14:paraId="345394BF" w14:textId="1FAE131E" w:rsidR="00182A84" w:rsidRPr="001C4901" w:rsidRDefault="00182A84" w:rsidP="00182A84">
      <w:pPr>
        <w:contextualSpacing/>
        <w:mirrorIndents/>
        <w:jc w:val="both"/>
        <w:rPr>
          <w:sz w:val="20"/>
          <w:szCs w:val="20"/>
        </w:rPr>
      </w:pPr>
      <w:r w:rsidRPr="001C4901">
        <w:rPr>
          <w:b/>
          <w:sz w:val="20"/>
          <w:szCs w:val="20"/>
        </w:rPr>
        <w:t xml:space="preserve">Figure 1: </w:t>
      </w:r>
      <w:r w:rsidRPr="001C4901">
        <w:rPr>
          <w:sz w:val="20"/>
          <w:szCs w:val="20"/>
        </w:rPr>
        <w:t xml:space="preserve">The Network </w:t>
      </w:r>
      <w:r w:rsidR="00EB68B2" w:rsidRPr="001C4901">
        <w:rPr>
          <w:sz w:val="20"/>
          <w:szCs w:val="20"/>
        </w:rPr>
        <w:t>towards</w:t>
      </w:r>
      <w:r w:rsidRPr="001C4901">
        <w:rPr>
          <w:sz w:val="20"/>
          <w:szCs w:val="20"/>
        </w:rPr>
        <w:t xml:space="preserve"> Unity for Health Student Network Organization member locations and response rates within regions.</w:t>
      </w:r>
    </w:p>
    <w:p w14:paraId="6AC8CC54" w14:textId="77777777" w:rsidR="00182A84" w:rsidRPr="001C4901" w:rsidRDefault="00182A84" w:rsidP="00B63B59">
      <w:pPr>
        <w:contextualSpacing/>
        <w:mirrorIndents/>
        <w:jc w:val="both"/>
        <w:rPr>
          <w:sz w:val="20"/>
          <w:szCs w:val="20"/>
        </w:rPr>
      </w:pPr>
    </w:p>
    <w:p w14:paraId="73140BE8" w14:textId="5CF19BB0" w:rsidR="005B3FC2" w:rsidRPr="001C4901" w:rsidRDefault="0073404C" w:rsidP="00B63B59">
      <w:pPr>
        <w:contextualSpacing/>
        <w:mirrorIndents/>
        <w:jc w:val="both"/>
        <w:rPr>
          <w:b/>
          <w:sz w:val="20"/>
          <w:szCs w:val="20"/>
        </w:rPr>
      </w:pPr>
      <w:r>
        <w:rPr>
          <w:b/>
          <w:sz w:val="20"/>
          <w:szCs w:val="20"/>
        </w:rPr>
        <w:t>General Characteristics</w:t>
      </w:r>
    </w:p>
    <w:p w14:paraId="6319C25C" w14:textId="77777777" w:rsidR="00E03717" w:rsidRPr="001C4901" w:rsidRDefault="00E03717" w:rsidP="00B63B59">
      <w:pPr>
        <w:contextualSpacing/>
        <w:mirrorIndents/>
        <w:jc w:val="both"/>
        <w:rPr>
          <w:sz w:val="20"/>
          <w:szCs w:val="20"/>
        </w:rPr>
      </w:pPr>
    </w:p>
    <w:p w14:paraId="77276EB8" w14:textId="7926E6F2" w:rsidR="00AD4047" w:rsidRDefault="005B3FC2" w:rsidP="00B63B59">
      <w:pPr>
        <w:contextualSpacing/>
        <w:mirrorIndents/>
        <w:jc w:val="both"/>
        <w:rPr>
          <w:sz w:val="20"/>
          <w:szCs w:val="20"/>
        </w:rPr>
      </w:pPr>
      <w:r w:rsidRPr="001C4901">
        <w:rPr>
          <w:sz w:val="20"/>
          <w:szCs w:val="20"/>
        </w:rPr>
        <w:t>Slightly more than two-thirds of respondents (77%) were in their undergraduate stage of education. The predominant field of study was medicine (65%), followed by other health professionals (14%), public or global health studies (11%), and nursing education (10%). Slightly more than one-half of respondents (52%) were in their clinical stage of training. Less than one-third were in their pre-clinical (24%) or not in a clinical training field (22%)</w:t>
      </w:r>
      <w:r w:rsidR="000C6FBE">
        <w:rPr>
          <w:sz w:val="20"/>
          <w:szCs w:val="20"/>
        </w:rPr>
        <w:t xml:space="preserve"> </w:t>
      </w:r>
      <w:r w:rsidR="000C6FBE" w:rsidRPr="00F11981">
        <w:rPr>
          <w:color w:val="FF0000"/>
          <w:sz w:val="20"/>
          <w:szCs w:val="20"/>
        </w:rPr>
        <w:t>(Table 2)</w:t>
      </w:r>
      <w:r w:rsidR="00314CC5">
        <w:rPr>
          <w:sz w:val="20"/>
          <w:szCs w:val="20"/>
        </w:rPr>
        <w:t>.</w:t>
      </w:r>
    </w:p>
    <w:p w14:paraId="6476D8C8" w14:textId="77777777" w:rsidR="00314CC5" w:rsidRDefault="00314CC5" w:rsidP="00B63B59">
      <w:pPr>
        <w:contextualSpacing/>
        <w:mirrorIndents/>
        <w:jc w:val="both"/>
        <w:rPr>
          <w:b/>
          <w:sz w:val="20"/>
          <w:szCs w:val="20"/>
        </w:rPr>
      </w:pPr>
    </w:p>
    <w:tbl>
      <w:tblPr>
        <w:tblW w:w="5348" w:type="dxa"/>
        <w:jc w:val="center"/>
        <w:tblLook w:val="04A0" w:firstRow="1" w:lastRow="0" w:firstColumn="1" w:lastColumn="0" w:noHBand="0" w:noVBand="1"/>
      </w:tblPr>
      <w:tblGrid>
        <w:gridCol w:w="3695"/>
        <w:gridCol w:w="1653"/>
      </w:tblGrid>
      <w:tr w:rsidR="00AD4047" w:rsidRPr="00AD4047" w14:paraId="303061D1" w14:textId="77777777" w:rsidTr="005A79C7">
        <w:trPr>
          <w:trHeight w:val="193"/>
          <w:jc w:val="center"/>
        </w:trPr>
        <w:tc>
          <w:tcPr>
            <w:tcW w:w="36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77537C" w14:textId="77777777" w:rsidR="00AD4047" w:rsidRPr="00AD4047" w:rsidRDefault="00AD4047" w:rsidP="00AD4047">
            <w:pPr>
              <w:jc w:val="center"/>
              <w:rPr>
                <w:color w:val="000000"/>
                <w:sz w:val="20"/>
                <w:szCs w:val="20"/>
              </w:rPr>
            </w:pPr>
            <w:r w:rsidRPr="00AD4047">
              <w:rPr>
                <w:color w:val="000000"/>
                <w:sz w:val="20"/>
                <w:szCs w:val="20"/>
              </w:rPr>
              <w:t> </w:t>
            </w:r>
          </w:p>
        </w:tc>
        <w:tc>
          <w:tcPr>
            <w:tcW w:w="1653" w:type="dxa"/>
            <w:tcBorders>
              <w:top w:val="single" w:sz="4" w:space="0" w:color="auto"/>
              <w:left w:val="nil"/>
              <w:bottom w:val="single" w:sz="4" w:space="0" w:color="auto"/>
              <w:right w:val="single" w:sz="4" w:space="0" w:color="auto"/>
            </w:tcBorders>
            <w:shd w:val="clear" w:color="000000" w:fill="FFFFFF"/>
            <w:noWrap/>
            <w:vAlign w:val="center"/>
            <w:hideMark/>
          </w:tcPr>
          <w:p w14:paraId="61CA7D28" w14:textId="77777777" w:rsidR="00AD4047" w:rsidRPr="00AD4047" w:rsidRDefault="00AD4047" w:rsidP="00AD4047">
            <w:pPr>
              <w:jc w:val="center"/>
              <w:rPr>
                <w:color w:val="000000"/>
                <w:sz w:val="20"/>
                <w:szCs w:val="20"/>
              </w:rPr>
            </w:pPr>
            <w:r w:rsidRPr="00AD4047">
              <w:rPr>
                <w:color w:val="000000"/>
                <w:sz w:val="20"/>
                <w:szCs w:val="20"/>
              </w:rPr>
              <w:t>Overall</w:t>
            </w:r>
          </w:p>
        </w:tc>
      </w:tr>
      <w:tr w:rsidR="00AD4047" w:rsidRPr="00AD4047" w14:paraId="63916240" w14:textId="77777777" w:rsidTr="005A79C7">
        <w:trPr>
          <w:trHeight w:val="193"/>
          <w:jc w:val="center"/>
        </w:trPr>
        <w:tc>
          <w:tcPr>
            <w:tcW w:w="3695" w:type="dxa"/>
            <w:tcBorders>
              <w:top w:val="nil"/>
              <w:left w:val="single" w:sz="4" w:space="0" w:color="auto"/>
              <w:bottom w:val="single" w:sz="4" w:space="0" w:color="auto"/>
              <w:right w:val="single" w:sz="4" w:space="0" w:color="auto"/>
            </w:tcBorders>
            <w:shd w:val="clear" w:color="000000" w:fill="FFFFFF"/>
            <w:noWrap/>
            <w:vAlign w:val="center"/>
            <w:hideMark/>
          </w:tcPr>
          <w:p w14:paraId="4B25532F" w14:textId="77777777" w:rsidR="00AD4047" w:rsidRPr="00AD4047" w:rsidRDefault="00AD4047" w:rsidP="00AD4047">
            <w:pPr>
              <w:jc w:val="center"/>
              <w:rPr>
                <w:b/>
                <w:bCs/>
                <w:color w:val="000000"/>
                <w:sz w:val="20"/>
                <w:szCs w:val="20"/>
              </w:rPr>
            </w:pPr>
            <w:r w:rsidRPr="00AD4047">
              <w:rPr>
                <w:b/>
                <w:bCs/>
                <w:color w:val="000000"/>
                <w:sz w:val="20"/>
                <w:szCs w:val="20"/>
              </w:rPr>
              <w:t>Degree type currently pursuing (N, 78)</w:t>
            </w:r>
          </w:p>
        </w:tc>
        <w:tc>
          <w:tcPr>
            <w:tcW w:w="1653" w:type="dxa"/>
            <w:tcBorders>
              <w:top w:val="nil"/>
              <w:left w:val="nil"/>
              <w:bottom w:val="single" w:sz="4" w:space="0" w:color="auto"/>
              <w:right w:val="single" w:sz="4" w:space="0" w:color="auto"/>
            </w:tcBorders>
            <w:shd w:val="clear" w:color="000000" w:fill="FFFFFF"/>
            <w:noWrap/>
            <w:vAlign w:val="center"/>
            <w:hideMark/>
          </w:tcPr>
          <w:p w14:paraId="71F51E1E" w14:textId="77777777" w:rsidR="00AD4047" w:rsidRPr="00AD4047" w:rsidRDefault="00AD4047" w:rsidP="00AD4047">
            <w:pPr>
              <w:jc w:val="center"/>
              <w:rPr>
                <w:color w:val="000000"/>
                <w:sz w:val="20"/>
                <w:szCs w:val="20"/>
              </w:rPr>
            </w:pPr>
            <w:r w:rsidRPr="00AD4047">
              <w:rPr>
                <w:color w:val="000000"/>
                <w:sz w:val="20"/>
                <w:szCs w:val="20"/>
              </w:rPr>
              <w:t> </w:t>
            </w:r>
          </w:p>
        </w:tc>
      </w:tr>
      <w:tr w:rsidR="00AD4047" w:rsidRPr="00AD4047" w14:paraId="5C61074B" w14:textId="77777777" w:rsidTr="005A79C7">
        <w:trPr>
          <w:trHeight w:val="193"/>
          <w:jc w:val="center"/>
        </w:trPr>
        <w:tc>
          <w:tcPr>
            <w:tcW w:w="3695" w:type="dxa"/>
            <w:tcBorders>
              <w:top w:val="nil"/>
              <w:left w:val="single" w:sz="4" w:space="0" w:color="auto"/>
              <w:bottom w:val="single" w:sz="4" w:space="0" w:color="auto"/>
              <w:right w:val="single" w:sz="4" w:space="0" w:color="auto"/>
            </w:tcBorders>
            <w:shd w:val="clear" w:color="000000" w:fill="FFFFFF"/>
            <w:noWrap/>
            <w:vAlign w:val="center"/>
            <w:hideMark/>
          </w:tcPr>
          <w:p w14:paraId="5B732D1B" w14:textId="77777777" w:rsidR="00AD4047" w:rsidRPr="00AD4047" w:rsidRDefault="00AD4047" w:rsidP="00AD4047">
            <w:pPr>
              <w:jc w:val="center"/>
              <w:rPr>
                <w:color w:val="000000"/>
                <w:sz w:val="20"/>
                <w:szCs w:val="20"/>
              </w:rPr>
            </w:pPr>
            <w:r w:rsidRPr="00AD4047">
              <w:rPr>
                <w:color w:val="000000"/>
                <w:sz w:val="20"/>
                <w:szCs w:val="20"/>
              </w:rPr>
              <w:t>Bachelor / Undergraduate</w:t>
            </w:r>
          </w:p>
        </w:tc>
        <w:tc>
          <w:tcPr>
            <w:tcW w:w="1653" w:type="dxa"/>
            <w:tcBorders>
              <w:top w:val="nil"/>
              <w:left w:val="nil"/>
              <w:bottom w:val="single" w:sz="4" w:space="0" w:color="auto"/>
              <w:right w:val="single" w:sz="4" w:space="0" w:color="auto"/>
            </w:tcBorders>
            <w:shd w:val="clear" w:color="000000" w:fill="FFFFFF"/>
            <w:noWrap/>
            <w:vAlign w:val="center"/>
            <w:hideMark/>
          </w:tcPr>
          <w:p w14:paraId="6C964850" w14:textId="77777777" w:rsidR="00AD4047" w:rsidRPr="00AD4047" w:rsidRDefault="00AD4047" w:rsidP="00AD4047">
            <w:pPr>
              <w:jc w:val="center"/>
              <w:rPr>
                <w:color w:val="000000"/>
                <w:sz w:val="20"/>
                <w:szCs w:val="20"/>
              </w:rPr>
            </w:pPr>
            <w:r w:rsidRPr="00AD4047">
              <w:rPr>
                <w:color w:val="000000"/>
                <w:sz w:val="20"/>
                <w:szCs w:val="20"/>
              </w:rPr>
              <w:t>77% (N, 61)</w:t>
            </w:r>
          </w:p>
        </w:tc>
      </w:tr>
      <w:tr w:rsidR="00AD4047" w:rsidRPr="00AD4047" w14:paraId="37452EB7" w14:textId="77777777" w:rsidTr="005A79C7">
        <w:trPr>
          <w:trHeight w:val="193"/>
          <w:jc w:val="center"/>
        </w:trPr>
        <w:tc>
          <w:tcPr>
            <w:tcW w:w="3695" w:type="dxa"/>
            <w:tcBorders>
              <w:top w:val="nil"/>
              <w:left w:val="single" w:sz="4" w:space="0" w:color="auto"/>
              <w:bottom w:val="single" w:sz="4" w:space="0" w:color="auto"/>
              <w:right w:val="single" w:sz="4" w:space="0" w:color="auto"/>
            </w:tcBorders>
            <w:shd w:val="clear" w:color="000000" w:fill="FFFFFF"/>
            <w:noWrap/>
            <w:vAlign w:val="center"/>
            <w:hideMark/>
          </w:tcPr>
          <w:p w14:paraId="1161A72F" w14:textId="77777777" w:rsidR="00AD4047" w:rsidRPr="00AD4047" w:rsidRDefault="00AD4047" w:rsidP="00AD4047">
            <w:pPr>
              <w:jc w:val="center"/>
              <w:rPr>
                <w:color w:val="000000"/>
                <w:sz w:val="20"/>
                <w:szCs w:val="20"/>
              </w:rPr>
            </w:pPr>
            <w:r w:rsidRPr="00AD4047">
              <w:rPr>
                <w:color w:val="000000"/>
                <w:sz w:val="20"/>
                <w:szCs w:val="20"/>
              </w:rPr>
              <w:t>Master / Graduate</w:t>
            </w:r>
          </w:p>
        </w:tc>
        <w:tc>
          <w:tcPr>
            <w:tcW w:w="1653" w:type="dxa"/>
            <w:tcBorders>
              <w:top w:val="nil"/>
              <w:left w:val="nil"/>
              <w:bottom w:val="single" w:sz="4" w:space="0" w:color="auto"/>
              <w:right w:val="single" w:sz="4" w:space="0" w:color="auto"/>
            </w:tcBorders>
            <w:shd w:val="clear" w:color="000000" w:fill="FFFFFF"/>
            <w:noWrap/>
            <w:vAlign w:val="center"/>
            <w:hideMark/>
          </w:tcPr>
          <w:p w14:paraId="6A576EDE" w14:textId="77777777" w:rsidR="00AD4047" w:rsidRPr="00AD4047" w:rsidRDefault="00AD4047" w:rsidP="00AD4047">
            <w:pPr>
              <w:jc w:val="center"/>
              <w:rPr>
                <w:color w:val="000000"/>
                <w:sz w:val="20"/>
                <w:szCs w:val="20"/>
              </w:rPr>
            </w:pPr>
            <w:r w:rsidRPr="00AD4047">
              <w:rPr>
                <w:color w:val="000000"/>
                <w:sz w:val="20"/>
                <w:szCs w:val="20"/>
              </w:rPr>
              <w:t>23% (N, 18)</w:t>
            </w:r>
          </w:p>
        </w:tc>
      </w:tr>
      <w:tr w:rsidR="00AD4047" w:rsidRPr="00AD4047" w14:paraId="23E4F116" w14:textId="77777777" w:rsidTr="005A79C7">
        <w:trPr>
          <w:trHeight w:val="193"/>
          <w:jc w:val="center"/>
        </w:trPr>
        <w:tc>
          <w:tcPr>
            <w:tcW w:w="3695" w:type="dxa"/>
            <w:tcBorders>
              <w:top w:val="nil"/>
              <w:left w:val="single" w:sz="4" w:space="0" w:color="auto"/>
              <w:bottom w:val="single" w:sz="4" w:space="0" w:color="auto"/>
              <w:right w:val="single" w:sz="4" w:space="0" w:color="auto"/>
            </w:tcBorders>
            <w:shd w:val="clear" w:color="000000" w:fill="FFFFFF"/>
            <w:noWrap/>
            <w:vAlign w:val="center"/>
            <w:hideMark/>
          </w:tcPr>
          <w:p w14:paraId="741DE3D1" w14:textId="77777777" w:rsidR="00AD4047" w:rsidRPr="00AD4047" w:rsidRDefault="00AD4047" w:rsidP="00AD4047">
            <w:pPr>
              <w:jc w:val="center"/>
              <w:rPr>
                <w:b/>
                <w:bCs/>
                <w:color w:val="000000"/>
                <w:sz w:val="20"/>
                <w:szCs w:val="20"/>
              </w:rPr>
            </w:pPr>
            <w:r w:rsidRPr="00AD4047">
              <w:rPr>
                <w:b/>
                <w:bCs/>
                <w:color w:val="000000"/>
                <w:sz w:val="20"/>
                <w:szCs w:val="20"/>
              </w:rPr>
              <w:t>Field of Study (N, 79 as one respondent selected two options)</w:t>
            </w:r>
          </w:p>
        </w:tc>
        <w:tc>
          <w:tcPr>
            <w:tcW w:w="1653" w:type="dxa"/>
            <w:tcBorders>
              <w:top w:val="nil"/>
              <w:left w:val="nil"/>
              <w:bottom w:val="single" w:sz="4" w:space="0" w:color="auto"/>
              <w:right w:val="single" w:sz="4" w:space="0" w:color="auto"/>
            </w:tcBorders>
            <w:shd w:val="clear" w:color="000000" w:fill="FFFFFF"/>
            <w:noWrap/>
            <w:vAlign w:val="center"/>
            <w:hideMark/>
          </w:tcPr>
          <w:p w14:paraId="39B9B1C0" w14:textId="77777777" w:rsidR="00AD4047" w:rsidRPr="00AD4047" w:rsidRDefault="00AD4047" w:rsidP="00AD4047">
            <w:pPr>
              <w:jc w:val="center"/>
              <w:rPr>
                <w:color w:val="000000"/>
                <w:sz w:val="20"/>
                <w:szCs w:val="20"/>
              </w:rPr>
            </w:pPr>
            <w:r w:rsidRPr="00AD4047">
              <w:rPr>
                <w:color w:val="000000"/>
                <w:sz w:val="20"/>
                <w:szCs w:val="20"/>
              </w:rPr>
              <w:t> </w:t>
            </w:r>
          </w:p>
        </w:tc>
      </w:tr>
      <w:tr w:rsidR="00AD4047" w:rsidRPr="00AD4047" w14:paraId="3CD39EB7" w14:textId="77777777" w:rsidTr="005A79C7">
        <w:trPr>
          <w:trHeight w:val="193"/>
          <w:jc w:val="center"/>
        </w:trPr>
        <w:tc>
          <w:tcPr>
            <w:tcW w:w="3695" w:type="dxa"/>
            <w:tcBorders>
              <w:top w:val="nil"/>
              <w:left w:val="single" w:sz="4" w:space="0" w:color="auto"/>
              <w:bottom w:val="single" w:sz="4" w:space="0" w:color="auto"/>
              <w:right w:val="single" w:sz="4" w:space="0" w:color="auto"/>
            </w:tcBorders>
            <w:shd w:val="clear" w:color="000000" w:fill="FFFFFF"/>
            <w:noWrap/>
            <w:vAlign w:val="center"/>
            <w:hideMark/>
          </w:tcPr>
          <w:p w14:paraId="2101A6C5" w14:textId="77777777" w:rsidR="00AD4047" w:rsidRPr="00AD4047" w:rsidRDefault="00AD4047" w:rsidP="00AD4047">
            <w:pPr>
              <w:jc w:val="center"/>
              <w:rPr>
                <w:color w:val="000000"/>
                <w:sz w:val="20"/>
                <w:szCs w:val="20"/>
              </w:rPr>
            </w:pPr>
            <w:r w:rsidRPr="00AD4047">
              <w:rPr>
                <w:color w:val="000000"/>
                <w:sz w:val="20"/>
                <w:szCs w:val="20"/>
              </w:rPr>
              <w:t>Medicine</w:t>
            </w:r>
          </w:p>
        </w:tc>
        <w:tc>
          <w:tcPr>
            <w:tcW w:w="1653" w:type="dxa"/>
            <w:tcBorders>
              <w:top w:val="nil"/>
              <w:left w:val="nil"/>
              <w:bottom w:val="single" w:sz="4" w:space="0" w:color="auto"/>
              <w:right w:val="single" w:sz="4" w:space="0" w:color="auto"/>
            </w:tcBorders>
            <w:shd w:val="clear" w:color="000000" w:fill="FFFFFF"/>
            <w:noWrap/>
            <w:vAlign w:val="center"/>
            <w:hideMark/>
          </w:tcPr>
          <w:p w14:paraId="57679BDF" w14:textId="77777777" w:rsidR="00AD4047" w:rsidRPr="00AD4047" w:rsidRDefault="00AD4047" w:rsidP="00AD4047">
            <w:pPr>
              <w:jc w:val="center"/>
              <w:rPr>
                <w:color w:val="000000"/>
                <w:sz w:val="20"/>
                <w:szCs w:val="20"/>
              </w:rPr>
            </w:pPr>
            <w:r w:rsidRPr="00AD4047">
              <w:rPr>
                <w:color w:val="000000"/>
                <w:sz w:val="20"/>
                <w:szCs w:val="20"/>
              </w:rPr>
              <w:t>65% (N, 51)</w:t>
            </w:r>
          </w:p>
        </w:tc>
      </w:tr>
      <w:tr w:rsidR="00AD4047" w:rsidRPr="00AD4047" w14:paraId="44B8DC42" w14:textId="77777777" w:rsidTr="005A79C7">
        <w:trPr>
          <w:trHeight w:val="193"/>
          <w:jc w:val="center"/>
        </w:trPr>
        <w:tc>
          <w:tcPr>
            <w:tcW w:w="3695" w:type="dxa"/>
            <w:tcBorders>
              <w:top w:val="nil"/>
              <w:left w:val="single" w:sz="4" w:space="0" w:color="auto"/>
              <w:bottom w:val="single" w:sz="4" w:space="0" w:color="auto"/>
              <w:right w:val="single" w:sz="4" w:space="0" w:color="auto"/>
            </w:tcBorders>
            <w:shd w:val="clear" w:color="000000" w:fill="FFFFFF"/>
            <w:noWrap/>
            <w:vAlign w:val="center"/>
            <w:hideMark/>
          </w:tcPr>
          <w:p w14:paraId="1D7CB11E" w14:textId="77777777" w:rsidR="00AD4047" w:rsidRPr="00AD4047" w:rsidRDefault="00AD4047" w:rsidP="00AD4047">
            <w:pPr>
              <w:jc w:val="center"/>
              <w:rPr>
                <w:color w:val="000000"/>
                <w:sz w:val="20"/>
                <w:szCs w:val="20"/>
              </w:rPr>
            </w:pPr>
            <w:r w:rsidRPr="00AD4047">
              <w:rPr>
                <w:color w:val="000000"/>
                <w:sz w:val="20"/>
                <w:szCs w:val="20"/>
              </w:rPr>
              <w:t>Other health professionals</w:t>
            </w:r>
          </w:p>
        </w:tc>
        <w:tc>
          <w:tcPr>
            <w:tcW w:w="1653" w:type="dxa"/>
            <w:tcBorders>
              <w:top w:val="nil"/>
              <w:left w:val="nil"/>
              <w:bottom w:val="single" w:sz="4" w:space="0" w:color="auto"/>
              <w:right w:val="single" w:sz="4" w:space="0" w:color="auto"/>
            </w:tcBorders>
            <w:shd w:val="clear" w:color="000000" w:fill="FFFFFF"/>
            <w:noWrap/>
            <w:vAlign w:val="center"/>
            <w:hideMark/>
          </w:tcPr>
          <w:p w14:paraId="53A38F2F" w14:textId="77777777" w:rsidR="00AD4047" w:rsidRPr="00AD4047" w:rsidRDefault="00AD4047" w:rsidP="00AD4047">
            <w:pPr>
              <w:jc w:val="center"/>
              <w:rPr>
                <w:color w:val="000000"/>
                <w:sz w:val="20"/>
                <w:szCs w:val="20"/>
              </w:rPr>
            </w:pPr>
            <w:r w:rsidRPr="00AD4047">
              <w:rPr>
                <w:color w:val="000000"/>
                <w:sz w:val="20"/>
                <w:szCs w:val="20"/>
              </w:rPr>
              <w:t>14 % (N, 11)</w:t>
            </w:r>
          </w:p>
        </w:tc>
      </w:tr>
      <w:tr w:rsidR="00AD4047" w:rsidRPr="00AD4047" w14:paraId="43A06EEF" w14:textId="77777777" w:rsidTr="005A79C7">
        <w:trPr>
          <w:trHeight w:val="193"/>
          <w:jc w:val="center"/>
        </w:trPr>
        <w:tc>
          <w:tcPr>
            <w:tcW w:w="3695" w:type="dxa"/>
            <w:tcBorders>
              <w:top w:val="nil"/>
              <w:left w:val="single" w:sz="4" w:space="0" w:color="auto"/>
              <w:bottom w:val="single" w:sz="4" w:space="0" w:color="auto"/>
              <w:right w:val="single" w:sz="4" w:space="0" w:color="auto"/>
            </w:tcBorders>
            <w:shd w:val="clear" w:color="000000" w:fill="FFFFFF"/>
            <w:noWrap/>
            <w:vAlign w:val="center"/>
            <w:hideMark/>
          </w:tcPr>
          <w:p w14:paraId="02E6B62F" w14:textId="77777777" w:rsidR="00AD4047" w:rsidRPr="00AD4047" w:rsidRDefault="00AD4047" w:rsidP="00AD4047">
            <w:pPr>
              <w:jc w:val="center"/>
              <w:rPr>
                <w:color w:val="000000"/>
                <w:sz w:val="20"/>
                <w:szCs w:val="20"/>
              </w:rPr>
            </w:pPr>
            <w:r w:rsidRPr="00AD4047">
              <w:rPr>
                <w:color w:val="000000"/>
                <w:sz w:val="20"/>
                <w:szCs w:val="20"/>
              </w:rPr>
              <w:t>(Pharmacy, Speech-language pathology, dentistry, physiotherapy)</w:t>
            </w:r>
          </w:p>
        </w:tc>
        <w:tc>
          <w:tcPr>
            <w:tcW w:w="1653" w:type="dxa"/>
            <w:tcBorders>
              <w:top w:val="nil"/>
              <w:left w:val="nil"/>
              <w:bottom w:val="single" w:sz="4" w:space="0" w:color="auto"/>
              <w:right w:val="single" w:sz="4" w:space="0" w:color="auto"/>
            </w:tcBorders>
            <w:shd w:val="clear" w:color="000000" w:fill="FFFFFF"/>
            <w:noWrap/>
            <w:vAlign w:val="center"/>
            <w:hideMark/>
          </w:tcPr>
          <w:p w14:paraId="67E7D342" w14:textId="77777777" w:rsidR="00AD4047" w:rsidRPr="00AD4047" w:rsidRDefault="00AD4047" w:rsidP="00AD4047">
            <w:pPr>
              <w:jc w:val="center"/>
              <w:rPr>
                <w:color w:val="000000"/>
                <w:sz w:val="20"/>
                <w:szCs w:val="20"/>
              </w:rPr>
            </w:pPr>
            <w:r w:rsidRPr="00AD4047">
              <w:rPr>
                <w:color w:val="000000"/>
                <w:sz w:val="20"/>
                <w:szCs w:val="20"/>
              </w:rPr>
              <w:t> </w:t>
            </w:r>
          </w:p>
        </w:tc>
      </w:tr>
      <w:tr w:rsidR="00AD4047" w:rsidRPr="00AD4047" w14:paraId="5704C390" w14:textId="77777777" w:rsidTr="005A79C7">
        <w:trPr>
          <w:trHeight w:val="193"/>
          <w:jc w:val="center"/>
        </w:trPr>
        <w:tc>
          <w:tcPr>
            <w:tcW w:w="3695" w:type="dxa"/>
            <w:tcBorders>
              <w:top w:val="nil"/>
              <w:left w:val="single" w:sz="4" w:space="0" w:color="auto"/>
              <w:bottom w:val="single" w:sz="4" w:space="0" w:color="auto"/>
              <w:right w:val="single" w:sz="4" w:space="0" w:color="auto"/>
            </w:tcBorders>
            <w:shd w:val="clear" w:color="000000" w:fill="FFFFFF"/>
            <w:noWrap/>
            <w:vAlign w:val="center"/>
            <w:hideMark/>
          </w:tcPr>
          <w:p w14:paraId="7CCC9D23" w14:textId="77777777" w:rsidR="00AD4047" w:rsidRPr="00AD4047" w:rsidRDefault="00AD4047" w:rsidP="00AD4047">
            <w:pPr>
              <w:jc w:val="center"/>
              <w:rPr>
                <w:color w:val="000000"/>
                <w:sz w:val="20"/>
                <w:szCs w:val="20"/>
              </w:rPr>
            </w:pPr>
            <w:r w:rsidRPr="00AD4047">
              <w:rPr>
                <w:color w:val="000000"/>
                <w:sz w:val="20"/>
                <w:szCs w:val="20"/>
              </w:rPr>
              <w:t>Public/Global Health</w:t>
            </w:r>
          </w:p>
        </w:tc>
        <w:tc>
          <w:tcPr>
            <w:tcW w:w="1653" w:type="dxa"/>
            <w:tcBorders>
              <w:top w:val="nil"/>
              <w:left w:val="nil"/>
              <w:bottom w:val="single" w:sz="4" w:space="0" w:color="auto"/>
              <w:right w:val="single" w:sz="4" w:space="0" w:color="auto"/>
            </w:tcBorders>
            <w:shd w:val="clear" w:color="000000" w:fill="FFFFFF"/>
            <w:noWrap/>
            <w:vAlign w:val="center"/>
            <w:hideMark/>
          </w:tcPr>
          <w:p w14:paraId="50B55182" w14:textId="77777777" w:rsidR="00AD4047" w:rsidRPr="00AD4047" w:rsidRDefault="00AD4047" w:rsidP="00AD4047">
            <w:pPr>
              <w:jc w:val="center"/>
              <w:rPr>
                <w:color w:val="000000"/>
                <w:sz w:val="20"/>
                <w:szCs w:val="20"/>
              </w:rPr>
            </w:pPr>
            <w:r w:rsidRPr="00AD4047">
              <w:rPr>
                <w:color w:val="000000"/>
                <w:sz w:val="20"/>
                <w:szCs w:val="20"/>
              </w:rPr>
              <w:t>11% (N, 9)</w:t>
            </w:r>
          </w:p>
        </w:tc>
      </w:tr>
      <w:tr w:rsidR="00AD4047" w:rsidRPr="00AD4047" w14:paraId="42DB9210" w14:textId="77777777" w:rsidTr="005A79C7">
        <w:trPr>
          <w:trHeight w:val="193"/>
          <w:jc w:val="center"/>
        </w:trPr>
        <w:tc>
          <w:tcPr>
            <w:tcW w:w="3695" w:type="dxa"/>
            <w:tcBorders>
              <w:top w:val="nil"/>
              <w:left w:val="single" w:sz="4" w:space="0" w:color="auto"/>
              <w:bottom w:val="single" w:sz="4" w:space="0" w:color="auto"/>
              <w:right w:val="single" w:sz="4" w:space="0" w:color="auto"/>
            </w:tcBorders>
            <w:shd w:val="clear" w:color="000000" w:fill="FFFFFF"/>
            <w:noWrap/>
            <w:vAlign w:val="center"/>
            <w:hideMark/>
          </w:tcPr>
          <w:p w14:paraId="6CCF5542" w14:textId="77777777" w:rsidR="00AD4047" w:rsidRPr="00AD4047" w:rsidRDefault="00AD4047" w:rsidP="00AD4047">
            <w:pPr>
              <w:jc w:val="center"/>
              <w:rPr>
                <w:color w:val="000000"/>
                <w:sz w:val="20"/>
                <w:szCs w:val="20"/>
              </w:rPr>
            </w:pPr>
            <w:r w:rsidRPr="00AD4047">
              <w:rPr>
                <w:color w:val="000000"/>
                <w:sz w:val="20"/>
                <w:szCs w:val="20"/>
              </w:rPr>
              <w:t>Nursing</w:t>
            </w:r>
          </w:p>
        </w:tc>
        <w:tc>
          <w:tcPr>
            <w:tcW w:w="1653" w:type="dxa"/>
            <w:tcBorders>
              <w:top w:val="nil"/>
              <w:left w:val="nil"/>
              <w:bottom w:val="single" w:sz="4" w:space="0" w:color="auto"/>
              <w:right w:val="single" w:sz="4" w:space="0" w:color="auto"/>
            </w:tcBorders>
            <w:shd w:val="clear" w:color="000000" w:fill="FFFFFF"/>
            <w:noWrap/>
            <w:vAlign w:val="center"/>
            <w:hideMark/>
          </w:tcPr>
          <w:p w14:paraId="6906BF08" w14:textId="77777777" w:rsidR="00AD4047" w:rsidRPr="00AD4047" w:rsidRDefault="00AD4047" w:rsidP="00AD4047">
            <w:pPr>
              <w:jc w:val="center"/>
              <w:rPr>
                <w:color w:val="000000"/>
                <w:sz w:val="20"/>
                <w:szCs w:val="20"/>
              </w:rPr>
            </w:pPr>
            <w:r w:rsidRPr="00AD4047">
              <w:rPr>
                <w:color w:val="000000"/>
                <w:sz w:val="20"/>
                <w:szCs w:val="20"/>
              </w:rPr>
              <w:t>10% (N, 8)</w:t>
            </w:r>
          </w:p>
        </w:tc>
      </w:tr>
      <w:tr w:rsidR="00AD4047" w:rsidRPr="00AD4047" w14:paraId="08B81F47" w14:textId="77777777" w:rsidTr="005A79C7">
        <w:trPr>
          <w:trHeight w:val="193"/>
          <w:jc w:val="center"/>
        </w:trPr>
        <w:tc>
          <w:tcPr>
            <w:tcW w:w="3695" w:type="dxa"/>
            <w:tcBorders>
              <w:top w:val="nil"/>
              <w:left w:val="single" w:sz="4" w:space="0" w:color="auto"/>
              <w:bottom w:val="single" w:sz="4" w:space="0" w:color="auto"/>
              <w:right w:val="single" w:sz="4" w:space="0" w:color="auto"/>
            </w:tcBorders>
            <w:shd w:val="clear" w:color="000000" w:fill="FFFFFF"/>
            <w:noWrap/>
            <w:vAlign w:val="center"/>
            <w:hideMark/>
          </w:tcPr>
          <w:p w14:paraId="7C7F48D3" w14:textId="77777777" w:rsidR="00AD4047" w:rsidRPr="00AD4047" w:rsidRDefault="00AD4047" w:rsidP="00AD4047">
            <w:pPr>
              <w:jc w:val="center"/>
              <w:rPr>
                <w:b/>
                <w:bCs/>
                <w:color w:val="000000"/>
                <w:sz w:val="20"/>
                <w:szCs w:val="20"/>
              </w:rPr>
            </w:pPr>
            <w:r w:rsidRPr="00AD4047">
              <w:rPr>
                <w:b/>
                <w:bCs/>
                <w:color w:val="000000"/>
                <w:sz w:val="20"/>
                <w:szCs w:val="20"/>
              </w:rPr>
              <w:t>Stage of education (N, 77 as one person did not respond)</w:t>
            </w:r>
          </w:p>
        </w:tc>
        <w:tc>
          <w:tcPr>
            <w:tcW w:w="1653" w:type="dxa"/>
            <w:tcBorders>
              <w:top w:val="nil"/>
              <w:left w:val="nil"/>
              <w:bottom w:val="single" w:sz="4" w:space="0" w:color="auto"/>
              <w:right w:val="single" w:sz="4" w:space="0" w:color="auto"/>
            </w:tcBorders>
            <w:shd w:val="clear" w:color="000000" w:fill="FFFFFF"/>
            <w:noWrap/>
            <w:vAlign w:val="center"/>
            <w:hideMark/>
          </w:tcPr>
          <w:p w14:paraId="3A19BEC3" w14:textId="77777777" w:rsidR="00AD4047" w:rsidRPr="00AD4047" w:rsidRDefault="00AD4047" w:rsidP="00AD4047">
            <w:pPr>
              <w:jc w:val="center"/>
              <w:rPr>
                <w:color w:val="000000"/>
                <w:sz w:val="20"/>
                <w:szCs w:val="20"/>
              </w:rPr>
            </w:pPr>
            <w:r w:rsidRPr="00AD4047">
              <w:rPr>
                <w:color w:val="000000"/>
                <w:sz w:val="20"/>
                <w:szCs w:val="20"/>
              </w:rPr>
              <w:t> </w:t>
            </w:r>
          </w:p>
        </w:tc>
      </w:tr>
      <w:tr w:rsidR="00AD4047" w:rsidRPr="00AD4047" w14:paraId="76B338D7" w14:textId="77777777" w:rsidTr="005A79C7">
        <w:trPr>
          <w:trHeight w:val="193"/>
          <w:jc w:val="center"/>
        </w:trPr>
        <w:tc>
          <w:tcPr>
            <w:tcW w:w="3695" w:type="dxa"/>
            <w:tcBorders>
              <w:top w:val="nil"/>
              <w:left w:val="single" w:sz="4" w:space="0" w:color="auto"/>
              <w:bottom w:val="single" w:sz="4" w:space="0" w:color="auto"/>
              <w:right w:val="single" w:sz="4" w:space="0" w:color="auto"/>
            </w:tcBorders>
            <w:shd w:val="clear" w:color="000000" w:fill="FFFFFF"/>
            <w:noWrap/>
            <w:vAlign w:val="center"/>
            <w:hideMark/>
          </w:tcPr>
          <w:p w14:paraId="1A949181" w14:textId="77777777" w:rsidR="00AD4047" w:rsidRPr="00AD4047" w:rsidRDefault="00AD4047" w:rsidP="00AD4047">
            <w:pPr>
              <w:jc w:val="center"/>
              <w:rPr>
                <w:color w:val="000000"/>
                <w:sz w:val="20"/>
                <w:szCs w:val="20"/>
              </w:rPr>
            </w:pPr>
            <w:r w:rsidRPr="00AD4047">
              <w:rPr>
                <w:color w:val="000000"/>
                <w:sz w:val="20"/>
                <w:szCs w:val="20"/>
              </w:rPr>
              <w:t>Clinical</w:t>
            </w:r>
          </w:p>
        </w:tc>
        <w:tc>
          <w:tcPr>
            <w:tcW w:w="1653" w:type="dxa"/>
            <w:tcBorders>
              <w:top w:val="nil"/>
              <w:left w:val="nil"/>
              <w:bottom w:val="single" w:sz="4" w:space="0" w:color="auto"/>
              <w:right w:val="single" w:sz="4" w:space="0" w:color="auto"/>
            </w:tcBorders>
            <w:shd w:val="clear" w:color="000000" w:fill="FFFFFF"/>
            <w:noWrap/>
            <w:vAlign w:val="center"/>
            <w:hideMark/>
          </w:tcPr>
          <w:p w14:paraId="509EC9DE" w14:textId="77777777" w:rsidR="00AD4047" w:rsidRPr="00AD4047" w:rsidRDefault="00AD4047" w:rsidP="00AD4047">
            <w:pPr>
              <w:jc w:val="center"/>
              <w:rPr>
                <w:color w:val="000000"/>
                <w:sz w:val="20"/>
                <w:szCs w:val="20"/>
              </w:rPr>
            </w:pPr>
            <w:r w:rsidRPr="00AD4047">
              <w:rPr>
                <w:color w:val="000000"/>
                <w:sz w:val="20"/>
                <w:szCs w:val="20"/>
              </w:rPr>
              <w:t>52% (N, 41)</w:t>
            </w:r>
          </w:p>
        </w:tc>
      </w:tr>
      <w:tr w:rsidR="00AD4047" w:rsidRPr="00AD4047" w14:paraId="6365BEB3" w14:textId="77777777" w:rsidTr="005A79C7">
        <w:trPr>
          <w:trHeight w:val="193"/>
          <w:jc w:val="center"/>
        </w:trPr>
        <w:tc>
          <w:tcPr>
            <w:tcW w:w="3695" w:type="dxa"/>
            <w:tcBorders>
              <w:top w:val="nil"/>
              <w:left w:val="single" w:sz="4" w:space="0" w:color="auto"/>
              <w:bottom w:val="single" w:sz="4" w:space="0" w:color="auto"/>
              <w:right w:val="single" w:sz="4" w:space="0" w:color="auto"/>
            </w:tcBorders>
            <w:shd w:val="clear" w:color="000000" w:fill="FFFFFF"/>
            <w:noWrap/>
            <w:vAlign w:val="center"/>
            <w:hideMark/>
          </w:tcPr>
          <w:p w14:paraId="54987F39" w14:textId="77777777" w:rsidR="00AD4047" w:rsidRPr="00AD4047" w:rsidRDefault="00AD4047" w:rsidP="00AD4047">
            <w:pPr>
              <w:jc w:val="center"/>
              <w:rPr>
                <w:color w:val="000000"/>
                <w:sz w:val="20"/>
                <w:szCs w:val="20"/>
              </w:rPr>
            </w:pPr>
            <w:r w:rsidRPr="00AD4047">
              <w:rPr>
                <w:color w:val="000000"/>
                <w:sz w:val="20"/>
                <w:szCs w:val="20"/>
              </w:rPr>
              <w:t>Pre-clinical</w:t>
            </w:r>
          </w:p>
        </w:tc>
        <w:tc>
          <w:tcPr>
            <w:tcW w:w="1653" w:type="dxa"/>
            <w:tcBorders>
              <w:top w:val="nil"/>
              <w:left w:val="nil"/>
              <w:bottom w:val="single" w:sz="4" w:space="0" w:color="auto"/>
              <w:right w:val="single" w:sz="4" w:space="0" w:color="auto"/>
            </w:tcBorders>
            <w:shd w:val="clear" w:color="000000" w:fill="FFFFFF"/>
            <w:noWrap/>
            <w:vAlign w:val="center"/>
            <w:hideMark/>
          </w:tcPr>
          <w:p w14:paraId="795595EE" w14:textId="77777777" w:rsidR="00AD4047" w:rsidRPr="00AD4047" w:rsidRDefault="00AD4047" w:rsidP="00AD4047">
            <w:pPr>
              <w:jc w:val="center"/>
              <w:rPr>
                <w:color w:val="000000"/>
                <w:sz w:val="20"/>
                <w:szCs w:val="20"/>
              </w:rPr>
            </w:pPr>
            <w:r w:rsidRPr="00AD4047">
              <w:rPr>
                <w:color w:val="000000"/>
                <w:sz w:val="20"/>
                <w:szCs w:val="20"/>
              </w:rPr>
              <w:t>24% (N, 19)</w:t>
            </w:r>
          </w:p>
        </w:tc>
      </w:tr>
      <w:tr w:rsidR="00AD4047" w:rsidRPr="00AD4047" w14:paraId="455FA6A0" w14:textId="77777777" w:rsidTr="005A79C7">
        <w:trPr>
          <w:trHeight w:val="193"/>
          <w:jc w:val="center"/>
        </w:trPr>
        <w:tc>
          <w:tcPr>
            <w:tcW w:w="3695" w:type="dxa"/>
            <w:tcBorders>
              <w:top w:val="nil"/>
              <w:left w:val="single" w:sz="4" w:space="0" w:color="auto"/>
              <w:bottom w:val="single" w:sz="4" w:space="0" w:color="auto"/>
              <w:right w:val="single" w:sz="4" w:space="0" w:color="auto"/>
            </w:tcBorders>
            <w:shd w:val="clear" w:color="000000" w:fill="FFFFFF"/>
            <w:noWrap/>
            <w:vAlign w:val="center"/>
            <w:hideMark/>
          </w:tcPr>
          <w:p w14:paraId="5151C0F4" w14:textId="77777777" w:rsidR="00AD4047" w:rsidRPr="00AD4047" w:rsidRDefault="00AD4047" w:rsidP="00AD4047">
            <w:pPr>
              <w:jc w:val="center"/>
              <w:rPr>
                <w:color w:val="000000"/>
                <w:sz w:val="20"/>
                <w:szCs w:val="20"/>
              </w:rPr>
            </w:pPr>
            <w:r w:rsidRPr="00AD4047">
              <w:rPr>
                <w:color w:val="000000"/>
                <w:sz w:val="20"/>
                <w:szCs w:val="20"/>
              </w:rPr>
              <w:t>N.A./ Non-clinical</w:t>
            </w:r>
          </w:p>
        </w:tc>
        <w:tc>
          <w:tcPr>
            <w:tcW w:w="1653" w:type="dxa"/>
            <w:tcBorders>
              <w:top w:val="nil"/>
              <w:left w:val="nil"/>
              <w:bottom w:val="single" w:sz="4" w:space="0" w:color="auto"/>
              <w:right w:val="single" w:sz="4" w:space="0" w:color="auto"/>
            </w:tcBorders>
            <w:shd w:val="clear" w:color="000000" w:fill="FFFFFF"/>
            <w:noWrap/>
            <w:vAlign w:val="center"/>
            <w:hideMark/>
          </w:tcPr>
          <w:p w14:paraId="48642802" w14:textId="77777777" w:rsidR="00AD4047" w:rsidRPr="00AD4047" w:rsidRDefault="00AD4047" w:rsidP="00AD4047">
            <w:pPr>
              <w:jc w:val="center"/>
              <w:rPr>
                <w:color w:val="000000"/>
                <w:sz w:val="20"/>
                <w:szCs w:val="20"/>
              </w:rPr>
            </w:pPr>
            <w:r w:rsidRPr="00AD4047">
              <w:rPr>
                <w:color w:val="000000"/>
                <w:sz w:val="20"/>
                <w:szCs w:val="20"/>
              </w:rPr>
              <w:t>22% (N, 17)</w:t>
            </w:r>
          </w:p>
        </w:tc>
      </w:tr>
    </w:tbl>
    <w:p w14:paraId="383720CC" w14:textId="77777777" w:rsidR="00AD4047" w:rsidRDefault="00AD4047" w:rsidP="00B63B59">
      <w:pPr>
        <w:contextualSpacing/>
        <w:mirrorIndents/>
        <w:jc w:val="both"/>
        <w:rPr>
          <w:b/>
          <w:sz w:val="20"/>
          <w:szCs w:val="20"/>
        </w:rPr>
      </w:pPr>
    </w:p>
    <w:p w14:paraId="56DA9126" w14:textId="77777777" w:rsidR="00B12C74" w:rsidRPr="001C4901" w:rsidRDefault="00B12C74" w:rsidP="00943583">
      <w:pPr>
        <w:contextualSpacing/>
        <w:mirrorIndents/>
        <w:jc w:val="center"/>
        <w:rPr>
          <w:b/>
          <w:sz w:val="20"/>
          <w:szCs w:val="20"/>
        </w:rPr>
      </w:pPr>
      <w:r w:rsidRPr="001C4901">
        <w:rPr>
          <w:b/>
          <w:sz w:val="20"/>
          <w:szCs w:val="20"/>
        </w:rPr>
        <w:t xml:space="preserve">Table 2: </w:t>
      </w:r>
      <w:r w:rsidRPr="00D94C3B">
        <w:rPr>
          <w:sz w:val="20"/>
          <w:szCs w:val="20"/>
        </w:rPr>
        <w:t>General Characteristics of Survey Respondents.</w:t>
      </w:r>
    </w:p>
    <w:p w14:paraId="23F7072A" w14:textId="77777777" w:rsidR="00B12C74" w:rsidRPr="001C4901" w:rsidRDefault="00B12C74" w:rsidP="00B63B59">
      <w:pPr>
        <w:contextualSpacing/>
        <w:mirrorIndents/>
        <w:jc w:val="both"/>
        <w:rPr>
          <w:b/>
          <w:sz w:val="20"/>
          <w:szCs w:val="20"/>
        </w:rPr>
      </w:pPr>
    </w:p>
    <w:p w14:paraId="00E3AEA0" w14:textId="77777777" w:rsidR="00F249FC" w:rsidRDefault="005B3FC2" w:rsidP="00F249FC">
      <w:pPr>
        <w:contextualSpacing/>
        <w:mirrorIndents/>
        <w:jc w:val="both"/>
        <w:rPr>
          <w:sz w:val="20"/>
          <w:szCs w:val="20"/>
        </w:rPr>
      </w:pPr>
      <w:r w:rsidRPr="001C4901">
        <w:rPr>
          <w:b/>
          <w:sz w:val="20"/>
          <w:szCs w:val="20"/>
        </w:rPr>
        <w:t xml:space="preserve">Indicator 1: </w:t>
      </w:r>
      <w:proofErr w:type="spellStart"/>
      <w:r w:rsidRPr="001C4901">
        <w:rPr>
          <w:b/>
          <w:sz w:val="20"/>
          <w:szCs w:val="20"/>
        </w:rPr>
        <w:t>Curriuclum</w:t>
      </w:r>
      <w:proofErr w:type="spellEnd"/>
      <w:r w:rsidRPr="001C4901">
        <w:rPr>
          <w:b/>
          <w:sz w:val="20"/>
          <w:szCs w:val="20"/>
        </w:rPr>
        <w:t xml:space="preserve"> </w:t>
      </w:r>
      <w:r w:rsidR="007226E4" w:rsidRPr="001C4901">
        <w:rPr>
          <w:b/>
          <w:sz w:val="20"/>
          <w:szCs w:val="20"/>
        </w:rPr>
        <w:t>Change</w:t>
      </w:r>
      <w:r w:rsidRPr="001C4901">
        <w:rPr>
          <w:b/>
          <w:sz w:val="20"/>
          <w:szCs w:val="20"/>
        </w:rPr>
        <w:t>:</w:t>
      </w:r>
      <w:r w:rsidRPr="001C4901">
        <w:rPr>
          <w:sz w:val="20"/>
          <w:szCs w:val="20"/>
        </w:rPr>
        <w:t xml:space="preserve"> Curriculum delivery changed after COVID-19, decreasing in-person interactions </w:t>
      </w:r>
      <w:r w:rsidRPr="00B20B02">
        <w:rPr>
          <w:color w:val="FF0000"/>
          <w:sz w:val="20"/>
          <w:szCs w:val="20"/>
        </w:rPr>
        <w:t>(Figure 2)</w:t>
      </w:r>
      <w:r w:rsidRPr="001C4901">
        <w:rPr>
          <w:sz w:val="20"/>
          <w:szCs w:val="20"/>
        </w:rPr>
        <w:t xml:space="preserve"> and increasing use of online modules. Almost one-third (31%) of students’ reported their schools completely closed until further notice. Specific curriculum changes also included less than 10% students participating in direct patient care (.09%), with 15% asked by superiors to participate in non-direct patient care. We asked respondents to remark on the effect of COVID on scheduled exams, which are indicators of progress. While there were no changes for 12% of students, 15% had exams canceled indefinitely or postponed (53%), and 41% moved to online exams.</w:t>
      </w:r>
    </w:p>
    <w:p w14:paraId="05BD385B" w14:textId="6B62D8E9" w:rsidR="00F249FC" w:rsidRDefault="00F249FC" w:rsidP="00F249FC">
      <w:pPr>
        <w:contextualSpacing/>
        <w:mirrorIndents/>
        <w:jc w:val="both"/>
        <w:rPr>
          <w:sz w:val="20"/>
          <w:szCs w:val="20"/>
        </w:rPr>
      </w:pPr>
    </w:p>
    <w:p w14:paraId="4A285EE0" w14:textId="4BADCA50" w:rsidR="0009295F" w:rsidRDefault="00FE0503" w:rsidP="00FE0503">
      <w:pPr>
        <w:contextualSpacing/>
        <w:mirrorIndents/>
        <w:jc w:val="center"/>
        <w:rPr>
          <w:sz w:val="20"/>
          <w:szCs w:val="20"/>
        </w:rPr>
      </w:pPr>
      <w:r w:rsidRPr="00FE0503">
        <w:rPr>
          <w:noProof/>
          <w:sz w:val="20"/>
          <w:szCs w:val="20"/>
        </w:rPr>
        <w:drawing>
          <wp:inline distT="0" distB="0" distL="0" distR="0" wp14:anchorId="6CB07AB6" wp14:editId="0663C18E">
            <wp:extent cx="3452884" cy="2285822"/>
            <wp:effectExtent l="0" t="0" r="0" b="635"/>
            <wp:docPr id="3" name="Picture 3" descr="D:\Journals All\2. International Journal of Community Medicine &amp; Public Health\Articles\IJCMPH-2021-18\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ournals All\2. International Journal of Community Medicine &amp; Public Health\Articles\IJCMPH-2021-18\fig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566" cy="2292893"/>
                    </a:xfrm>
                    <a:prstGeom prst="rect">
                      <a:avLst/>
                    </a:prstGeom>
                    <a:noFill/>
                    <a:ln>
                      <a:noFill/>
                    </a:ln>
                  </pic:spPr>
                </pic:pic>
              </a:graphicData>
            </a:graphic>
          </wp:inline>
        </w:drawing>
      </w:r>
    </w:p>
    <w:p w14:paraId="12ECFF3B" w14:textId="77777777" w:rsidR="00C574FE" w:rsidRDefault="00C574FE" w:rsidP="00F249FC">
      <w:pPr>
        <w:contextualSpacing/>
        <w:mirrorIndents/>
        <w:jc w:val="both"/>
        <w:rPr>
          <w:sz w:val="20"/>
          <w:szCs w:val="20"/>
        </w:rPr>
      </w:pPr>
    </w:p>
    <w:p w14:paraId="52581B21" w14:textId="39AEE613" w:rsidR="009501FC" w:rsidRPr="001C4901" w:rsidRDefault="009501FC" w:rsidP="00122D54">
      <w:pPr>
        <w:contextualSpacing/>
        <w:mirrorIndents/>
        <w:jc w:val="center"/>
        <w:rPr>
          <w:b/>
          <w:sz w:val="20"/>
          <w:szCs w:val="20"/>
        </w:rPr>
      </w:pPr>
      <w:r w:rsidRPr="001C4901">
        <w:rPr>
          <w:b/>
          <w:sz w:val="20"/>
          <w:szCs w:val="20"/>
        </w:rPr>
        <w:t xml:space="preserve">Figure 2: </w:t>
      </w:r>
      <w:r w:rsidRPr="00FB0C06">
        <w:rPr>
          <w:sz w:val="20"/>
          <w:szCs w:val="20"/>
        </w:rPr>
        <w:t>Changes in Education</w:t>
      </w:r>
      <w:r w:rsidR="00E85503" w:rsidRPr="00FB0C06">
        <w:rPr>
          <w:sz w:val="20"/>
          <w:szCs w:val="20"/>
        </w:rPr>
        <w:t>.</w:t>
      </w:r>
    </w:p>
    <w:p w14:paraId="5CD0D3BF" w14:textId="77777777" w:rsidR="009501FC" w:rsidRPr="001C4901" w:rsidRDefault="009501FC" w:rsidP="00B63B59">
      <w:pPr>
        <w:contextualSpacing/>
        <w:mirrorIndents/>
        <w:jc w:val="both"/>
        <w:rPr>
          <w:sz w:val="20"/>
          <w:szCs w:val="20"/>
        </w:rPr>
      </w:pPr>
    </w:p>
    <w:p w14:paraId="5F5FE3E1" w14:textId="7796D81A" w:rsidR="005B3FC2" w:rsidRPr="001C4901" w:rsidRDefault="005B3FC2" w:rsidP="00B63B59">
      <w:pPr>
        <w:contextualSpacing/>
        <w:mirrorIndents/>
        <w:jc w:val="both"/>
        <w:rPr>
          <w:sz w:val="20"/>
          <w:szCs w:val="20"/>
        </w:rPr>
      </w:pPr>
      <w:r w:rsidRPr="001C4901">
        <w:rPr>
          <w:b/>
          <w:sz w:val="20"/>
          <w:szCs w:val="20"/>
        </w:rPr>
        <w:t>Indicator 2: Barriers to Education:</w:t>
      </w:r>
      <w:r w:rsidRPr="001C4901">
        <w:rPr>
          <w:sz w:val="20"/>
          <w:szCs w:val="20"/>
        </w:rPr>
        <w:t xml:space="preserve"> The number of students who reported not having any educational activities is relevant. Despite an abundance of motivation in most students, resources prove a significant barrier to continuing education. Consistently identified barriers that were similar across all settings included limited access barriers (to internet or electronic devices and increased costs for learning) and the social impediment of limited interactions with others, including residents, classmates, and other group settings. On occasion, the subsequent discouragement with the inability of institutions to provide access to teachers and (online) classes is apparent, "I've not had any educational activity from my University since February. It's been really difficult and demotivating" (Medical student, Nigeria). Another crucial layer to consider is the psychological toll the pandemic is taking on students. The need for personal protective equipment, better communication, and the need to restart (online) educational activities voiced by several students give insight into the unmet needs students face. A nursing student from Belgium calls for "more mental support," asking to be more</w:t>
      </w:r>
      <w:r w:rsidR="00902330">
        <w:rPr>
          <w:sz w:val="20"/>
          <w:szCs w:val="20"/>
        </w:rPr>
        <w:t xml:space="preserve"> personal when communicating, "M</w:t>
      </w:r>
      <w:r w:rsidRPr="001C4901">
        <w:rPr>
          <w:sz w:val="20"/>
          <w:szCs w:val="20"/>
        </w:rPr>
        <w:t xml:space="preserve">aking us feel they're there for us." Our findings show a disparity between students wanting to study during quarantine but impeded by low access to educational resources, leading to eventual discouragement and hopelessness about the continuation of studies.” </w:t>
      </w:r>
    </w:p>
    <w:p w14:paraId="7CB61456" w14:textId="77777777" w:rsidR="005B3FC2" w:rsidRPr="001C4901" w:rsidRDefault="005B3FC2" w:rsidP="00B63B59">
      <w:pPr>
        <w:contextualSpacing/>
        <w:mirrorIndents/>
        <w:jc w:val="both"/>
        <w:rPr>
          <w:b/>
          <w:sz w:val="20"/>
          <w:szCs w:val="20"/>
        </w:rPr>
      </w:pPr>
    </w:p>
    <w:p w14:paraId="70373321" w14:textId="77777777" w:rsidR="005B3FC2" w:rsidRPr="001C4901" w:rsidRDefault="005B3FC2" w:rsidP="00B63B59">
      <w:pPr>
        <w:contextualSpacing/>
        <w:mirrorIndents/>
        <w:jc w:val="both"/>
        <w:rPr>
          <w:sz w:val="20"/>
          <w:szCs w:val="20"/>
        </w:rPr>
      </w:pPr>
      <w:r w:rsidRPr="001C4901">
        <w:rPr>
          <w:b/>
          <w:sz w:val="20"/>
          <w:szCs w:val="20"/>
        </w:rPr>
        <w:t>Indicator 3: COVID19 Activities:</w:t>
      </w:r>
      <w:r w:rsidRPr="001C4901">
        <w:rPr>
          <w:sz w:val="20"/>
          <w:szCs w:val="20"/>
        </w:rPr>
        <w:t xml:space="preserve"> Despite these barriers, 68% of students remained motivated to engage in education, and many students seek out outside online courses or webinars. Students reported that they found ways to keep up with their education through online courses, workshops, or research projects. More than half (63%) enrolled in online courses outside of their university, 37% engaged in research projects, and 67% of students watched online seminars or workshops. A medical student from Uganda comments, "I have used this time to revise and take online courses for professional development." Student responses indicate their willingness, even excitement, to keep learning "So far, I have been engaged in online programs, research, webinars, etc." (Public health student, Nigeria). </w:t>
      </w:r>
    </w:p>
    <w:p w14:paraId="10B17DFD" w14:textId="77777777" w:rsidR="005B3FC2" w:rsidRPr="001C4901" w:rsidRDefault="005B3FC2" w:rsidP="00B63B59">
      <w:pPr>
        <w:contextualSpacing/>
        <w:mirrorIndents/>
        <w:jc w:val="both"/>
        <w:rPr>
          <w:sz w:val="20"/>
          <w:szCs w:val="20"/>
        </w:rPr>
      </w:pPr>
    </w:p>
    <w:p w14:paraId="043B1646" w14:textId="77777777" w:rsidR="005B3FC2" w:rsidRPr="001C4901" w:rsidRDefault="005B3FC2" w:rsidP="00B63B59">
      <w:pPr>
        <w:contextualSpacing/>
        <w:mirrorIndents/>
        <w:jc w:val="both"/>
        <w:rPr>
          <w:sz w:val="20"/>
          <w:szCs w:val="20"/>
        </w:rPr>
      </w:pPr>
      <w:r w:rsidRPr="001C4901">
        <w:rPr>
          <w:sz w:val="20"/>
          <w:szCs w:val="20"/>
        </w:rPr>
        <w:t xml:space="preserve">Lastly, 65% of students participated in a variety of COVID related activities, including COVID hotlines (15%), COVID-related research (29%), supporting frontline workers (.05%), working with local nursing homes (.05%), community support (20%), helping produce PPE (13%), or engaging in public health education/campaigns (.06%). </w:t>
      </w:r>
    </w:p>
    <w:p w14:paraId="69D23A38" w14:textId="77777777" w:rsidR="005B3FC2" w:rsidRPr="001C4901" w:rsidRDefault="005B3FC2" w:rsidP="00B63B59">
      <w:pPr>
        <w:contextualSpacing/>
        <w:mirrorIndents/>
        <w:jc w:val="both"/>
        <w:rPr>
          <w:sz w:val="20"/>
          <w:szCs w:val="20"/>
        </w:rPr>
      </w:pPr>
    </w:p>
    <w:p w14:paraId="433248F0" w14:textId="77777777" w:rsidR="00874293" w:rsidRDefault="005B3FC2" w:rsidP="00B63B59">
      <w:pPr>
        <w:contextualSpacing/>
        <w:mirrorIndents/>
        <w:jc w:val="both"/>
        <w:rPr>
          <w:sz w:val="20"/>
          <w:szCs w:val="20"/>
        </w:rPr>
      </w:pPr>
      <w:r w:rsidRPr="001C4901">
        <w:rPr>
          <w:b/>
          <w:sz w:val="20"/>
          <w:szCs w:val="20"/>
        </w:rPr>
        <w:lastRenderedPageBreak/>
        <w:t>Indicator 4: Perceptions of Education:</w:t>
      </w:r>
      <w:r w:rsidRPr="001C4901">
        <w:rPr>
          <w:sz w:val="20"/>
          <w:szCs w:val="20"/>
        </w:rPr>
        <w:t xml:space="preserve"> Students reported feeling abandoned by their schools, left out of the conversation, and demotivated by the university's response to the pandemic. The general unpreparedness of universities for virtual education has caused frustration in students.</w:t>
      </w:r>
    </w:p>
    <w:p w14:paraId="4110586D" w14:textId="3C1315A6" w:rsidR="005B3FC2" w:rsidRPr="001C4901" w:rsidRDefault="005B3FC2" w:rsidP="00B63B59">
      <w:pPr>
        <w:contextualSpacing/>
        <w:mirrorIndents/>
        <w:jc w:val="both"/>
        <w:rPr>
          <w:sz w:val="20"/>
          <w:szCs w:val="20"/>
        </w:rPr>
      </w:pPr>
      <w:r w:rsidRPr="001C4901">
        <w:rPr>
          <w:sz w:val="20"/>
          <w:szCs w:val="20"/>
        </w:rPr>
        <w:t xml:space="preserve"> </w:t>
      </w:r>
    </w:p>
    <w:p w14:paraId="2B1D1E86" w14:textId="77777777" w:rsidR="005B3FC2" w:rsidRPr="001C4901" w:rsidRDefault="005B3FC2" w:rsidP="00B63B59">
      <w:pPr>
        <w:contextualSpacing/>
        <w:mirrorIndents/>
        <w:jc w:val="both"/>
        <w:rPr>
          <w:sz w:val="20"/>
          <w:szCs w:val="20"/>
        </w:rPr>
      </w:pPr>
      <w:r w:rsidRPr="001C4901">
        <w:rPr>
          <w:sz w:val="20"/>
          <w:szCs w:val="20"/>
        </w:rPr>
        <w:t>Many students reported the new delivery modality for their education was not of high quality, with less than one-fourth (23%) rating their education above average or excellent. Further, more than one-half (56%) were not at all or only slightly satisfied with their institution's educational response to COVID. The students who have been continuing their education online say it is different and not as complete as a "normal" curriculum. This discrepancy between educational activities, even within the same degree types in the same country, such as the above-quoted account from a Nigerian medical student who is not having any classes since February, juxtaposes this Nigerian medical students experience, "It's been a great experience learning in my university here in Nigeria, and must say, I'm really enjoying every bit of it. Our lecturers are wonderful, [...] making sure students are comfortable at all times."</w:t>
      </w:r>
    </w:p>
    <w:p w14:paraId="1728B4C0" w14:textId="77777777" w:rsidR="005B3FC2" w:rsidRPr="001C4901" w:rsidRDefault="005B3FC2" w:rsidP="00B63B59">
      <w:pPr>
        <w:contextualSpacing/>
        <w:mirrorIndents/>
        <w:jc w:val="both"/>
        <w:rPr>
          <w:sz w:val="20"/>
          <w:szCs w:val="20"/>
        </w:rPr>
      </w:pPr>
    </w:p>
    <w:p w14:paraId="2E1C2857" w14:textId="596ABB3E" w:rsidR="00E34578" w:rsidRDefault="005B3FC2" w:rsidP="00B63B59">
      <w:pPr>
        <w:contextualSpacing/>
        <w:mirrorIndents/>
        <w:jc w:val="both"/>
        <w:rPr>
          <w:sz w:val="20"/>
          <w:szCs w:val="20"/>
        </w:rPr>
      </w:pPr>
      <w:r w:rsidRPr="001C4901">
        <w:rPr>
          <w:b/>
          <w:sz w:val="20"/>
          <w:szCs w:val="20"/>
        </w:rPr>
        <w:t>Indicator 5: Students perspectives and approaches to changes in education</w:t>
      </w:r>
      <w:r w:rsidR="0071304D">
        <w:rPr>
          <w:b/>
          <w:sz w:val="20"/>
          <w:szCs w:val="20"/>
        </w:rPr>
        <w:t xml:space="preserve">: </w:t>
      </w:r>
      <w:r w:rsidRPr="001C4901">
        <w:rPr>
          <w:sz w:val="20"/>
          <w:szCs w:val="20"/>
        </w:rPr>
        <w:t>We gathered student suggestions for improvement in the implementation, or lack, of education at the beginning of the pandemic. These suggestions come from a diverse group of health professional students, who represent what students are facing. Based on the responses, we created eight recommendations that universities could consider when planning education del</w:t>
      </w:r>
      <w:r w:rsidR="00261B72">
        <w:rPr>
          <w:sz w:val="20"/>
          <w:szCs w:val="20"/>
        </w:rPr>
        <w:t>ivery during- and post-pandemic</w:t>
      </w:r>
      <w:r w:rsidRPr="001C4901">
        <w:rPr>
          <w:sz w:val="20"/>
          <w:szCs w:val="20"/>
        </w:rPr>
        <w:t xml:space="preserve"> </w:t>
      </w:r>
      <w:r w:rsidRPr="009A22D1">
        <w:rPr>
          <w:color w:val="FF0000"/>
          <w:sz w:val="20"/>
          <w:szCs w:val="20"/>
        </w:rPr>
        <w:t>(Table 3)</w:t>
      </w:r>
      <w:r w:rsidR="00E03717" w:rsidRPr="001C4901">
        <w:rPr>
          <w:sz w:val="20"/>
          <w:szCs w:val="20"/>
        </w:rPr>
        <w:t>.</w:t>
      </w:r>
    </w:p>
    <w:p w14:paraId="6E9E1EC0" w14:textId="77777777" w:rsidR="008E2D1E" w:rsidRDefault="008E2D1E" w:rsidP="00B63B59">
      <w:pPr>
        <w:contextualSpacing/>
        <w:mirrorIndents/>
        <w:jc w:val="both"/>
        <w:rPr>
          <w:sz w:val="20"/>
          <w:szCs w:val="20"/>
        </w:rPr>
      </w:pPr>
    </w:p>
    <w:tbl>
      <w:tblPr>
        <w:tblW w:w="7796" w:type="dxa"/>
        <w:jc w:val="center"/>
        <w:tblLook w:val="04A0" w:firstRow="1" w:lastRow="0" w:firstColumn="1" w:lastColumn="0" w:noHBand="0" w:noVBand="1"/>
      </w:tblPr>
      <w:tblGrid>
        <w:gridCol w:w="7796"/>
      </w:tblGrid>
      <w:tr w:rsidR="00E34578" w:rsidRPr="00E34578" w14:paraId="65D30277" w14:textId="77777777" w:rsidTr="00226EAF">
        <w:trPr>
          <w:trHeight w:val="259"/>
          <w:jc w:val="center"/>
        </w:trPr>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D397B" w14:textId="0AFC4C7A" w:rsidR="00E34578" w:rsidRPr="00E34578" w:rsidRDefault="00E34578" w:rsidP="00226EAF">
            <w:pPr>
              <w:jc w:val="center"/>
              <w:rPr>
                <w:color w:val="000000"/>
                <w:sz w:val="20"/>
                <w:szCs w:val="20"/>
              </w:rPr>
            </w:pPr>
            <w:r w:rsidRPr="00E34578">
              <w:rPr>
                <w:color w:val="000000"/>
                <w:sz w:val="20"/>
                <w:szCs w:val="20"/>
              </w:rPr>
              <w:t>Continue theoretical education online to the greatest extent possible. Focus on interactive teaching with students doing the teaching, such as in learner-centered education. When clinical practice cannot occur, there are still some opportunities to bring clinical thinking and skills during online lessons, such as learning to differentiate heart murmurs or breath sounds.</w:t>
            </w:r>
          </w:p>
        </w:tc>
      </w:tr>
      <w:tr w:rsidR="00E34578" w:rsidRPr="00E34578" w14:paraId="40CAD5DE" w14:textId="77777777" w:rsidTr="00226EAF">
        <w:trPr>
          <w:trHeight w:val="259"/>
          <w:jc w:val="center"/>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14:paraId="6B1286D0" w14:textId="0C0E9B3F" w:rsidR="00E34578" w:rsidRPr="00E34578" w:rsidRDefault="00E34578" w:rsidP="00226EAF">
            <w:pPr>
              <w:jc w:val="center"/>
              <w:rPr>
                <w:color w:val="000000"/>
                <w:sz w:val="20"/>
                <w:szCs w:val="20"/>
              </w:rPr>
            </w:pPr>
            <w:r w:rsidRPr="00E34578">
              <w:rPr>
                <w:color w:val="000000"/>
                <w:sz w:val="20"/>
                <w:szCs w:val="20"/>
              </w:rPr>
              <w:t>Provide internet access. This should be done by improving infrastructure on a national level, which we recognize universities cannot directly influence. However, the universities can support students in payment for internet access directly or by organizing discount offers with local providers, especially when activities are continuing online. Many students are known not to have adequate access to the internet.</w:t>
            </w:r>
          </w:p>
        </w:tc>
      </w:tr>
      <w:tr w:rsidR="00E34578" w:rsidRPr="00E34578" w14:paraId="5ED09952" w14:textId="77777777" w:rsidTr="00226EAF">
        <w:trPr>
          <w:trHeight w:val="259"/>
          <w:jc w:val="center"/>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14:paraId="407B8CAD" w14:textId="276678D6" w:rsidR="00E34578" w:rsidRPr="00E34578" w:rsidRDefault="00E34578" w:rsidP="00226EAF">
            <w:pPr>
              <w:jc w:val="center"/>
              <w:rPr>
                <w:color w:val="000000"/>
                <w:sz w:val="20"/>
                <w:szCs w:val="20"/>
              </w:rPr>
            </w:pPr>
            <w:r w:rsidRPr="00E34578">
              <w:rPr>
                <w:color w:val="000000"/>
                <w:sz w:val="20"/>
                <w:szCs w:val="20"/>
              </w:rPr>
              <w:t>Be lenient with grading, deadlines, and attendance. Students, same as everyone, have been facing many difficulties in their personal lives. Keeping everyone to the same standard as before the pandemic ignores the struggles of the current situation.</w:t>
            </w:r>
          </w:p>
        </w:tc>
      </w:tr>
      <w:tr w:rsidR="00E34578" w:rsidRPr="00E34578" w14:paraId="48AE84BA" w14:textId="77777777" w:rsidTr="00226EAF">
        <w:trPr>
          <w:trHeight w:val="259"/>
          <w:jc w:val="center"/>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14:paraId="0396BBC7" w14:textId="21365F05" w:rsidR="00E34578" w:rsidRPr="00E34578" w:rsidRDefault="00E34578" w:rsidP="00226EAF">
            <w:pPr>
              <w:jc w:val="center"/>
              <w:rPr>
                <w:color w:val="000000"/>
                <w:sz w:val="20"/>
                <w:szCs w:val="20"/>
              </w:rPr>
            </w:pPr>
            <w:r w:rsidRPr="00E34578">
              <w:rPr>
                <w:color w:val="000000"/>
                <w:sz w:val="20"/>
                <w:szCs w:val="20"/>
              </w:rPr>
              <w:t>Ensure access to teachers, mental health professionals, and other essential university resources.</w:t>
            </w:r>
          </w:p>
        </w:tc>
      </w:tr>
      <w:tr w:rsidR="00E34578" w:rsidRPr="00E34578" w14:paraId="6B94C742" w14:textId="77777777" w:rsidTr="00226EAF">
        <w:trPr>
          <w:trHeight w:val="259"/>
          <w:jc w:val="center"/>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14:paraId="6A26BFB1" w14:textId="3DE7FBEA" w:rsidR="00E34578" w:rsidRPr="00E34578" w:rsidRDefault="00E34578" w:rsidP="00226EAF">
            <w:pPr>
              <w:jc w:val="center"/>
              <w:rPr>
                <w:color w:val="000000"/>
                <w:sz w:val="20"/>
                <w:szCs w:val="20"/>
              </w:rPr>
            </w:pPr>
            <w:r w:rsidRPr="00E34578">
              <w:rPr>
                <w:color w:val="000000"/>
                <w:sz w:val="20"/>
                <w:szCs w:val="20"/>
              </w:rPr>
              <w:t>Be clear in communication with the student body. Transparency in decision making and unambiguous communication are necessary for continued trust in the institutions. Students are an (if not the most) important stakeholder in education delivery and should be represented during discussions on the potential solutions.</w:t>
            </w:r>
          </w:p>
        </w:tc>
      </w:tr>
      <w:tr w:rsidR="00E34578" w:rsidRPr="00E34578" w14:paraId="1EB01834" w14:textId="77777777" w:rsidTr="00226EAF">
        <w:trPr>
          <w:trHeight w:val="259"/>
          <w:jc w:val="center"/>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14:paraId="45AD26A3" w14:textId="07B80339" w:rsidR="00E34578" w:rsidRPr="00E34578" w:rsidRDefault="00E34578" w:rsidP="00226EAF">
            <w:pPr>
              <w:jc w:val="center"/>
              <w:rPr>
                <w:color w:val="000000"/>
                <w:sz w:val="20"/>
                <w:szCs w:val="20"/>
              </w:rPr>
            </w:pPr>
            <w:r w:rsidRPr="00E34578">
              <w:rPr>
                <w:color w:val="000000"/>
                <w:sz w:val="20"/>
                <w:szCs w:val="20"/>
              </w:rPr>
              <w:t>Adapt curriculum and technology to suit online education after the pandemic. We do not know what the future will bring, but online education is a clear trend. Institutions should take time to think about how they can take this experience into the future, what type of education is most adaptable to the uncertainty of in-person lectures, and how to approach internet access and technology barriers.</w:t>
            </w:r>
          </w:p>
        </w:tc>
      </w:tr>
      <w:tr w:rsidR="00E34578" w:rsidRPr="00E34578" w14:paraId="009FCA47" w14:textId="77777777" w:rsidTr="00226EAF">
        <w:trPr>
          <w:trHeight w:val="259"/>
          <w:jc w:val="center"/>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14:paraId="649D4653" w14:textId="39605290" w:rsidR="00E34578" w:rsidRPr="00E34578" w:rsidRDefault="00E34578" w:rsidP="00226EAF">
            <w:pPr>
              <w:jc w:val="center"/>
              <w:rPr>
                <w:color w:val="000000"/>
                <w:sz w:val="20"/>
                <w:szCs w:val="20"/>
              </w:rPr>
            </w:pPr>
            <w:r w:rsidRPr="00E34578">
              <w:rPr>
                <w:color w:val="000000"/>
                <w:sz w:val="20"/>
                <w:szCs w:val="20"/>
              </w:rPr>
              <w:t>COVID-19 awareness and preventative measures have to be implemented to ensure the safety of students.</w:t>
            </w:r>
          </w:p>
        </w:tc>
      </w:tr>
      <w:tr w:rsidR="00E34578" w:rsidRPr="00E34578" w14:paraId="15B176A1" w14:textId="77777777" w:rsidTr="00226EAF">
        <w:trPr>
          <w:trHeight w:val="259"/>
          <w:jc w:val="center"/>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14:paraId="0D1FBD65" w14:textId="2608E0BD" w:rsidR="00E34578" w:rsidRPr="00E34578" w:rsidRDefault="00E34578" w:rsidP="00226EAF">
            <w:pPr>
              <w:jc w:val="center"/>
              <w:rPr>
                <w:color w:val="000000"/>
                <w:sz w:val="20"/>
                <w:szCs w:val="20"/>
              </w:rPr>
            </w:pPr>
            <w:r w:rsidRPr="00E34578">
              <w:rPr>
                <w:color w:val="000000"/>
                <w:sz w:val="20"/>
                <w:szCs w:val="20"/>
              </w:rPr>
              <w:t>Improve preparedness for future emergencies. Many institutions did not have any “</w:t>
            </w:r>
            <w:r w:rsidR="000D17A8" w:rsidRPr="00E34578">
              <w:rPr>
                <w:color w:val="000000"/>
                <w:sz w:val="20"/>
                <w:szCs w:val="20"/>
              </w:rPr>
              <w:t>Back-Up</w:t>
            </w:r>
            <w:r w:rsidRPr="00E34578">
              <w:rPr>
                <w:color w:val="000000"/>
                <w:sz w:val="20"/>
                <w:szCs w:val="20"/>
              </w:rPr>
              <w:t>” plans, emergency toolkits, or other resources for such a drastic change in education delivery.</w:t>
            </w:r>
          </w:p>
        </w:tc>
      </w:tr>
    </w:tbl>
    <w:p w14:paraId="1F7EF5BD" w14:textId="77777777" w:rsidR="00E34578" w:rsidRPr="001C4901" w:rsidRDefault="00E34578" w:rsidP="00B63B59">
      <w:pPr>
        <w:contextualSpacing/>
        <w:mirrorIndents/>
        <w:jc w:val="both"/>
        <w:rPr>
          <w:sz w:val="20"/>
          <w:szCs w:val="20"/>
        </w:rPr>
      </w:pPr>
    </w:p>
    <w:p w14:paraId="508BCBCB" w14:textId="517DD81B" w:rsidR="00B87DEE" w:rsidRPr="001C4901" w:rsidRDefault="00B87DEE" w:rsidP="002067D2">
      <w:pPr>
        <w:contextualSpacing/>
        <w:mirrorIndents/>
        <w:jc w:val="center"/>
        <w:rPr>
          <w:b/>
          <w:sz w:val="20"/>
          <w:szCs w:val="20"/>
        </w:rPr>
      </w:pPr>
      <w:bookmarkStart w:id="4" w:name="_2et92p0" w:colFirst="0" w:colLast="0"/>
      <w:bookmarkEnd w:id="4"/>
      <w:r w:rsidRPr="001C4901">
        <w:rPr>
          <w:b/>
          <w:sz w:val="20"/>
          <w:szCs w:val="20"/>
        </w:rPr>
        <w:t xml:space="preserve">Table 3: </w:t>
      </w:r>
      <w:r w:rsidRPr="002067D2">
        <w:rPr>
          <w:sz w:val="20"/>
          <w:szCs w:val="20"/>
        </w:rPr>
        <w:t>Student recommendations for educational planning during a crisis</w:t>
      </w:r>
      <w:r w:rsidR="00DB3AAD" w:rsidRPr="002067D2">
        <w:rPr>
          <w:sz w:val="20"/>
          <w:szCs w:val="20"/>
        </w:rPr>
        <w:t>.</w:t>
      </w:r>
    </w:p>
    <w:p w14:paraId="52DF033B" w14:textId="77777777" w:rsidR="00B87DEE" w:rsidRPr="001C4901" w:rsidRDefault="00B87DEE" w:rsidP="00B63B59">
      <w:pPr>
        <w:contextualSpacing/>
        <w:mirrorIndents/>
        <w:jc w:val="both"/>
        <w:rPr>
          <w:b/>
          <w:sz w:val="20"/>
          <w:szCs w:val="20"/>
          <w:highlight w:val="white"/>
        </w:rPr>
      </w:pPr>
    </w:p>
    <w:p w14:paraId="3B789143" w14:textId="77777777" w:rsidR="00E03717" w:rsidRPr="00105183" w:rsidRDefault="005B3FC2" w:rsidP="00B63B59">
      <w:pPr>
        <w:pStyle w:val="Heading2"/>
        <w:spacing w:before="0"/>
        <w:contextualSpacing/>
        <w:mirrorIndents/>
        <w:jc w:val="both"/>
        <w:rPr>
          <w:rFonts w:ascii="Times New Roman" w:hAnsi="Times New Roman" w:cs="Times New Roman"/>
          <w:b/>
          <w:color w:val="auto"/>
          <w:sz w:val="22"/>
          <w:szCs w:val="22"/>
        </w:rPr>
      </w:pPr>
      <w:r w:rsidRPr="00105183">
        <w:rPr>
          <w:rFonts w:ascii="Times New Roman" w:hAnsi="Times New Roman" w:cs="Times New Roman"/>
          <w:b/>
          <w:color w:val="auto"/>
          <w:sz w:val="22"/>
          <w:szCs w:val="22"/>
        </w:rPr>
        <w:t>Discussion</w:t>
      </w:r>
    </w:p>
    <w:p w14:paraId="1B698A70" w14:textId="77777777" w:rsidR="00E03717" w:rsidRPr="001C4901" w:rsidRDefault="00E03717" w:rsidP="00B63B59">
      <w:pPr>
        <w:contextualSpacing/>
        <w:mirrorIndents/>
        <w:jc w:val="both"/>
        <w:rPr>
          <w:sz w:val="20"/>
          <w:szCs w:val="20"/>
        </w:rPr>
      </w:pPr>
    </w:p>
    <w:p w14:paraId="3AF0AF06" w14:textId="2C9E9C5B" w:rsidR="005B3FC2" w:rsidRPr="001C4901" w:rsidRDefault="005B3FC2" w:rsidP="00B63B59">
      <w:pPr>
        <w:contextualSpacing/>
        <w:mirrorIndents/>
        <w:jc w:val="both"/>
        <w:rPr>
          <w:sz w:val="20"/>
          <w:szCs w:val="20"/>
        </w:rPr>
      </w:pPr>
      <w:r w:rsidRPr="001C4901">
        <w:rPr>
          <w:sz w:val="20"/>
          <w:szCs w:val="20"/>
        </w:rPr>
        <w:t>Different countries worldwide have produced various responses during the pandemic to continue the education process. Although there have been recent articles on the COVID-19 pandemic effect on health professional education, they are site or specialty specific</w:t>
      </w:r>
      <w:r w:rsidR="00112279">
        <w:rPr>
          <w:sz w:val="20"/>
          <w:szCs w:val="20"/>
        </w:rPr>
        <w:t xml:space="preserve"> </w:t>
      </w:r>
      <w:r w:rsidR="00267AC2">
        <w:rPr>
          <w:color w:val="FF0000"/>
          <w:sz w:val="20"/>
          <w:szCs w:val="20"/>
        </w:rPr>
        <w:t>[5</w:t>
      </w:r>
      <w:proofErr w:type="gramStart"/>
      <w:r w:rsidR="00267AC2">
        <w:rPr>
          <w:color w:val="FF0000"/>
          <w:sz w:val="20"/>
          <w:szCs w:val="20"/>
        </w:rPr>
        <w:t>,11</w:t>
      </w:r>
      <w:proofErr w:type="gramEnd"/>
      <w:r w:rsidR="00267AC2">
        <w:rPr>
          <w:color w:val="FF0000"/>
          <w:sz w:val="20"/>
          <w:szCs w:val="20"/>
        </w:rPr>
        <w:t>-</w:t>
      </w:r>
      <w:r w:rsidR="00112279" w:rsidRPr="00112279">
        <w:rPr>
          <w:color w:val="FF0000"/>
          <w:sz w:val="20"/>
          <w:szCs w:val="20"/>
        </w:rPr>
        <w:t>14]</w:t>
      </w:r>
      <w:r w:rsidRPr="001C4901">
        <w:rPr>
          <w:sz w:val="20"/>
          <w:szCs w:val="20"/>
        </w:rPr>
        <w:t xml:space="preserve">. To our knowledge, there are no studies on how the COVID-19 pandemic and the transition to e-learning have affected health professional education on a global basis. Our </w:t>
      </w:r>
      <w:r w:rsidRPr="001C4901">
        <w:rPr>
          <w:sz w:val="20"/>
          <w:szCs w:val="20"/>
        </w:rPr>
        <w:lastRenderedPageBreak/>
        <w:t xml:space="preserve">findings confirm that health science education worldwide drastically changed during the early stages of the COVID-19 pandemic. We observed a variety of changes made due to COVID-19 in both clinical and nonclinical education, with most health science education shifting to online teaching and over one-third of students reporting complete closure of their university until further notice. </w:t>
      </w:r>
    </w:p>
    <w:p w14:paraId="3E7745D5" w14:textId="77777777" w:rsidR="005B3FC2" w:rsidRPr="001C4901" w:rsidRDefault="005B3FC2" w:rsidP="00B63B59">
      <w:pPr>
        <w:contextualSpacing/>
        <w:mirrorIndents/>
        <w:jc w:val="both"/>
        <w:rPr>
          <w:sz w:val="20"/>
          <w:szCs w:val="20"/>
        </w:rPr>
      </w:pPr>
    </w:p>
    <w:p w14:paraId="00BECF41" w14:textId="6A9C2A9B" w:rsidR="005B3FC2" w:rsidRPr="001C4901" w:rsidRDefault="005B3FC2" w:rsidP="00B63B59">
      <w:pPr>
        <w:contextualSpacing/>
        <w:mirrorIndents/>
        <w:jc w:val="both"/>
        <w:rPr>
          <w:sz w:val="20"/>
          <w:szCs w:val="20"/>
        </w:rPr>
      </w:pPr>
      <w:r w:rsidRPr="001C4901">
        <w:rPr>
          <w:sz w:val="20"/>
          <w:szCs w:val="20"/>
        </w:rPr>
        <w:t>Our findings are consistent with prior research on the move to online learning in the health professions fields. One of the barriers resulting from this abrupt transition to online learning was the limited ability to learn from others in person. However, the predominant barrier was limited access to the internet, without which students cannot participate in their education. Prior research has also found that limited internet coverage and technological barriers, such as limited bandwidth, are frequently reported impediments for many students in e-learning</w:t>
      </w:r>
      <w:r w:rsidR="00D5289D">
        <w:rPr>
          <w:sz w:val="20"/>
          <w:szCs w:val="20"/>
        </w:rPr>
        <w:t xml:space="preserve"> </w:t>
      </w:r>
      <w:r w:rsidR="00D5289D" w:rsidRPr="00D5289D">
        <w:rPr>
          <w:color w:val="FF0000"/>
          <w:sz w:val="20"/>
          <w:szCs w:val="20"/>
        </w:rPr>
        <w:t>[5</w:t>
      </w:r>
      <w:proofErr w:type="gramStart"/>
      <w:r w:rsidR="00D5289D" w:rsidRPr="00D5289D">
        <w:rPr>
          <w:color w:val="FF0000"/>
          <w:sz w:val="20"/>
          <w:szCs w:val="20"/>
        </w:rPr>
        <w:t>,15</w:t>
      </w:r>
      <w:proofErr w:type="gramEnd"/>
      <w:r w:rsidR="00D5289D" w:rsidRPr="00D5289D">
        <w:rPr>
          <w:color w:val="FF0000"/>
          <w:sz w:val="20"/>
          <w:szCs w:val="20"/>
        </w:rPr>
        <w:t>]</w:t>
      </w:r>
      <w:r w:rsidRPr="001C4901">
        <w:rPr>
          <w:sz w:val="20"/>
          <w:szCs w:val="20"/>
        </w:rPr>
        <w:t xml:space="preserve">. These findings included disruption of internet service (weakness or absence), lack of personal computers, </w:t>
      </w:r>
      <w:proofErr w:type="gramStart"/>
      <w:r w:rsidRPr="001C4901">
        <w:rPr>
          <w:sz w:val="20"/>
          <w:szCs w:val="20"/>
        </w:rPr>
        <w:t>stress</w:t>
      </w:r>
      <w:proofErr w:type="gramEnd"/>
      <w:r w:rsidRPr="001C4901">
        <w:rPr>
          <w:sz w:val="20"/>
          <w:szCs w:val="20"/>
        </w:rPr>
        <w:t xml:space="preserve"> due to the confinement/quarantine, lack of time, high number of homework assignments, and lack of communication with teachers are significant hindrances to their online learning</w:t>
      </w:r>
      <w:r w:rsidR="00EB7F1C">
        <w:rPr>
          <w:sz w:val="20"/>
          <w:szCs w:val="20"/>
        </w:rPr>
        <w:t xml:space="preserve"> </w:t>
      </w:r>
      <w:r w:rsidR="00EB7F1C" w:rsidRPr="00EB7F1C">
        <w:rPr>
          <w:color w:val="FF0000"/>
          <w:sz w:val="20"/>
          <w:szCs w:val="20"/>
        </w:rPr>
        <w:t>[7]</w:t>
      </w:r>
      <w:r w:rsidRPr="001C4901">
        <w:rPr>
          <w:sz w:val="20"/>
          <w:szCs w:val="20"/>
        </w:rPr>
        <w:t>.</w:t>
      </w:r>
      <w:r w:rsidR="00F71F88">
        <w:rPr>
          <w:sz w:val="20"/>
          <w:szCs w:val="20"/>
        </w:rPr>
        <w:t xml:space="preserve"> </w:t>
      </w:r>
      <w:r w:rsidRPr="001C4901">
        <w:rPr>
          <w:sz w:val="20"/>
          <w:szCs w:val="20"/>
        </w:rPr>
        <w:t>Lack of in-person contact with classmates, friends, and teachers may negatively affect physical and mental health as the psychological impact of quarantine is wide-ranging, substantial, and can be long-lasting</w:t>
      </w:r>
      <w:r w:rsidR="00EB7F1C">
        <w:rPr>
          <w:sz w:val="20"/>
          <w:szCs w:val="20"/>
        </w:rPr>
        <w:t xml:space="preserve"> </w:t>
      </w:r>
      <w:r w:rsidR="00EB7F1C" w:rsidRPr="00EB7F1C">
        <w:rPr>
          <w:color w:val="FF0000"/>
          <w:sz w:val="20"/>
          <w:szCs w:val="20"/>
        </w:rPr>
        <w:t>[16]</w:t>
      </w:r>
      <w:r w:rsidRPr="001C4901">
        <w:rPr>
          <w:sz w:val="20"/>
          <w:szCs w:val="20"/>
        </w:rPr>
        <w:t>.</w:t>
      </w:r>
      <w:r w:rsidR="00EB7F1C" w:rsidRPr="001C4901">
        <w:rPr>
          <w:sz w:val="20"/>
          <w:szCs w:val="20"/>
        </w:rPr>
        <w:t xml:space="preserve"> </w:t>
      </w:r>
    </w:p>
    <w:p w14:paraId="3321A00B" w14:textId="77777777" w:rsidR="005B3FC2" w:rsidRPr="001C4901" w:rsidRDefault="005B3FC2" w:rsidP="00B63B59">
      <w:pPr>
        <w:contextualSpacing/>
        <w:mirrorIndents/>
        <w:jc w:val="both"/>
        <w:rPr>
          <w:sz w:val="20"/>
          <w:szCs w:val="20"/>
        </w:rPr>
      </w:pPr>
    </w:p>
    <w:p w14:paraId="2C059F03" w14:textId="6206AB90" w:rsidR="005B3FC2" w:rsidRPr="001C4901" w:rsidRDefault="005B3FC2" w:rsidP="00B63B59">
      <w:pPr>
        <w:contextualSpacing/>
        <w:mirrorIndents/>
        <w:jc w:val="both"/>
        <w:rPr>
          <w:sz w:val="20"/>
          <w:szCs w:val="20"/>
        </w:rPr>
      </w:pPr>
      <w:r w:rsidRPr="001C4901">
        <w:rPr>
          <w:sz w:val="20"/>
          <w:szCs w:val="20"/>
        </w:rPr>
        <w:t xml:space="preserve">The generation surveyed is often viewed as technologically savvy, yet online education was a factor that students struggled with the most. There are many dimensions to this problem. The universities need to have resources to set up online learning. The internet connection has to be strong enough in student's homes, and the students have to have access to technology that will actively participate in education. The relationship between university resources, national internet infrastructure, and the students' resources </w:t>
      </w:r>
      <w:r w:rsidR="004C57D8">
        <w:rPr>
          <w:sz w:val="20"/>
          <w:szCs w:val="20"/>
        </w:rPr>
        <w:t>creates many gaps that can</w:t>
      </w:r>
      <w:r w:rsidRPr="001C4901">
        <w:rPr>
          <w:sz w:val="20"/>
          <w:szCs w:val="20"/>
        </w:rPr>
        <w:t xml:space="preserve">not be fixed with a "silver bullet." There is a clear need for improved preparedness planning in health sciences institutions, which should be working in tandem with national and local infrastructure improvement. Online education is the only way to continue with education during the quarantine. Without these changes, more countries may see a decrease in their health workforce as students may leave their chosen field or be unable to complete their education. </w:t>
      </w:r>
    </w:p>
    <w:p w14:paraId="6EB21356" w14:textId="77777777" w:rsidR="005B3FC2" w:rsidRPr="001C4901" w:rsidRDefault="005B3FC2" w:rsidP="00B63B59">
      <w:pPr>
        <w:contextualSpacing/>
        <w:mirrorIndents/>
        <w:jc w:val="both"/>
        <w:rPr>
          <w:sz w:val="20"/>
          <w:szCs w:val="20"/>
        </w:rPr>
      </w:pPr>
    </w:p>
    <w:p w14:paraId="409CB940" w14:textId="0DF77402" w:rsidR="005B3FC2" w:rsidRPr="001C4901" w:rsidRDefault="005B3FC2" w:rsidP="00B63B59">
      <w:pPr>
        <w:contextualSpacing/>
        <w:mirrorIndents/>
        <w:jc w:val="both"/>
        <w:rPr>
          <w:sz w:val="20"/>
          <w:szCs w:val="20"/>
        </w:rPr>
      </w:pPr>
      <w:r w:rsidRPr="001C4901">
        <w:rPr>
          <w:sz w:val="20"/>
          <w:szCs w:val="20"/>
        </w:rPr>
        <w:t>This brings into question the future capacity of the health workforce in countries struggling with a lack of healthcare workers</w:t>
      </w:r>
      <w:r w:rsidR="004C57D8">
        <w:rPr>
          <w:sz w:val="20"/>
          <w:szCs w:val="20"/>
        </w:rPr>
        <w:t xml:space="preserve"> </w:t>
      </w:r>
      <w:r w:rsidR="004C57D8" w:rsidRPr="004C57D8">
        <w:rPr>
          <w:color w:val="FF0000"/>
          <w:sz w:val="20"/>
          <w:szCs w:val="20"/>
        </w:rPr>
        <w:t>[17</w:t>
      </w:r>
      <w:proofErr w:type="gramStart"/>
      <w:r w:rsidR="004C57D8" w:rsidRPr="004C57D8">
        <w:rPr>
          <w:color w:val="FF0000"/>
          <w:sz w:val="20"/>
          <w:szCs w:val="20"/>
        </w:rPr>
        <w:t>,18</w:t>
      </w:r>
      <w:proofErr w:type="gramEnd"/>
      <w:r w:rsidR="004C57D8" w:rsidRPr="004C57D8">
        <w:rPr>
          <w:color w:val="FF0000"/>
          <w:sz w:val="20"/>
          <w:szCs w:val="20"/>
        </w:rPr>
        <w:t>]</w:t>
      </w:r>
      <w:r w:rsidRPr="001C4901">
        <w:rPr>
          <w:sz w:val="20"/>
          <w:szCs w:val="20"/>
        </w:rPr>
        <w:t xml:space="preserve">. The health care practitioners who graduated in 2019 had a vastly different education experience from those who graduated or were supposed to graduate in 2020. The adapted (often shortened) curricula, missing clinical practice, or being delayed for months may contribute to the increasing gap in the health workforce in many developing countries. </w:t>
      </w:r>
    </w:p>
    <w:p w14:paraId="577B96CD" w14:textId="77777777" w:rsidR="00E03717" w:rsidRPr="001C4901" w:rsidRDefault="00E03717" w:rsidP="00B63B59">
      <w:pPr>
        <w:contextualSpacing/>
        <w:mirrorIndents/>
        <w:jc w:val="both"/>
        <w:rPr>
          <w:sz w:val="20"/>
          <w:szCs w:val="20"/>
        </w:rPr>
      </w:pPr>
    </w:p>
    <w:p w14:paraId="4D958E3D" w14:textId="381A68D8" w:rsidR="00E03717" w:rsidRPr="00E467E3" w:rsidRDefault="00123EF8" w:rsidP="00B63B59">
      <w:pPr>
        <w:contextualSpacing/>
        <w:mirrorIndents/>
        <w:jc w:val="both"/>
        <w:rPr>
          <w:b/>
          <w:sz w:val="22"/>
          <w:szCs w:val="22"/>
        </w:rPr>
      </w:pPr>
      <w:r w:rsidRPr="00E467E3">
        <w:rPr>
          <w:b/>
          <w:sz w:val="22"/>
          <w:szCs w:val="22"/>
        </w:rPr>
        <w:t>Study S</w:t>
      </w:r>
      <w:r w:rsidR="008F4871" w:rsidRPr="00E467E3">
        <w:rPr>
          <w:b/>
          <w:sz w:val="22"/>
          <w:szCs w:val="22"/>
        </w:rPr>
        <w:t xml:space="preserve">trengths and </w:t>
      </w:r>
      <w:r w:rsidRPr="00E467E3">
        <w:rPr>
          <w:b/>
          <w:sz w:val="22"/>
          <w:szCs w:val="22"/>
        </w:rPr>
        <w:t>L</w:t>
      </w:r>
      <w:r w:rsidR="008F4871" w:rsidRPr="00E467E3">
        <w:rPr>
          <w:b/>
          <w:sz w:val="22"/>
          <w:szCs w:val="22"/>
        </w:rPr>
        <w:t>imitations</w:t>
      </w:r>
    </w:p>
    <w:p w14:paraId="6DA81480" w14:textId="77777777" w:rsidR="008F4871" w:rsidRPr="008F4871" w:rsidRDefault="008F4871" w:rsidP="00B63B59">
      <w:pPr>
        <w:contextualSpacing/>
        <w:mirrorIndents/>
        <w:jc w:val="both"/>
        <w:rPr>
          <w:sz w:val="20"/>
          <w:szCs w:val="20"/>
        </w:rPr>
      </w:pPr>
    </w:p>
    <w:p w14:paraId="7D7E88AE" w14:textId="769C8FAF" w:rsidR="005B3FC2" w:rsidRPr="001C4901" w:rsidRDefault="00077BF9" w:rsidP="00B63B59">
      <w:pPr>
        <w:contextualSpacing/>
        <w:mirrorIndents/>
        <w:jc w:val="both"/>
        <w:rPr>
          <w:sz w:val="20"/>
          <w:szCs w:val="20"/>
        </w:rPr>
      </w:pPr>
      <w:r w:rsidRPr="001C4901">
        <w:rPr>
          <w:sz w:val="20"/>
          <w:szCs w:val="20"/>
        </w:rPr>
        <w:t xml:space="preserve">This is a descriptive article and </w:t>
      </w:r>
      <w:r w:rsidR="005B3FC2" w:rsidRPr="001C4901">
        <w:rPr>
          <w:sz w:val="20"/>
          <w:szCs w:val="20"/>
        </w:rPr>
        <w:t xml:space="preserve">is one of the first to inquire about the changes to interprofessional health professional education during the COVID-19 pandemic on a global scale. While our study provides valuable information on health science education during the beginning stages of the pandemic, there are several limitations. First, our sample size was small (n=78), with a response rate of 18.2%. Second, this study used a convenience sample and not systematically drawn. In addition, health profession education is organized differently in various places in the world and the experiences of students in North America, for example, are not directly comparable in areas of the world that organize their schools differently. </w:t>
      </w:r>
      <w:r w:rsidRPr="001C4901">
        <w:rPr>
          <w:sz w:val="20"/>
          <w:szCs w:val="20"/>
        </w:rPr>
        <w:t xml:space="preserve">Thirdly, this is a descriptive article </w:t>
      </w:r>
      <w:r w:rsidR="00E328F9" w:rsidRPr="001C4901">
        <w:rPr>
          <w:sz w:val="20"/>
          <w:szCs w:val="20"/>
        </w:rPr>
        <w:t>finally</w:t>
      </w:r>
      <w:r w:rsidR="005B3FC2" w:rsidRPr="001C4901">
        <w:rPr>
          <w:sz w:val="20"/>
          <w:szCs w:val="20"/>
        </w:rPr>
        <w:t xml:space="preserve">, this study's results do not necessarily represent all the students in the health sciences globally. Due to the lack of previously verified survey instruments on education changes due to COVID-19, none of our questions were previously verified. Thus, it is possible that respondents' interpretations varied, especially across regional dialects. </w:t>
      </w:r>
    </w:p>
    <w:p w14:paraId="7A4E8932" w14:textId="77777777" w:rsidR="005B3FC2" w:rsidRPr="001C4901" w:rsidRDefault="005B3FC2" w:rsidP="00B63B59">
      <w:pPr>
        <w:contextualSpacing/>
        <w:mirrorIndents/>
        <w:jc w:val="both"/>
        <w:rPr>
          <w:sz w:val="20"/>
          <w:szCs w:val="20"/>
        </w:rPr>
      </w:pPr>
    </w:p>
    <w:p w14:paraId="31F24B76" w14:textId="77777777" w:rsidR="005B3FC2" w:rsidRPr="00BF126B" w:rsidRDefault="005B3FC2" w:rsidP="00B63B59">
      <w:pPr>
        <w:contextualSpacing/>
        <w:mirrorIndents/>
        <w:jc w:val="both"/>
        <w:rPr>
          <w:b/>
          <w:sz w:val="22"/>
          <w:szCs w:val="22"/>
        </w:rPr>
      </w:pPr>
      <w:r w:rsidRPr="00BF126B">
        <w:rPr>
          <w:b/>
          <w:sz w:val="22"/>
          <w:szCs w:val="22"/>
        </w:rPr>
        <w:t>Conclusion</w:t>
      </w:r>
    </w:p>
    <w:p w14:paraId="3745B0EE" w14:textId="77777777" w:rsidR="00E03717" w:rsidRPr="001C4901" w:rsidRDefault="00E03717" w:rsidP="00B63B59">
      <w:pPr>
        <w:contextualSpacing/>
        <w:mirrorIndents/>
        <w:jc w:val="both"/>
        <w:rPr>
          <w:sz w:val="20"/>
          <w:szCs w:val="20"/>
        </w:rPr>
      </w:pPr>
    </w:p>
    <w:p w14:paraId="07A163BF" w14:textId="2AF1BFD6" w:rsidR="005B3FC2" w:rsidRDefault="005B3FC2" w:rsidP="00B63B59">
      <w:pPr>
        <w:contextualSpacing/>
        <w:mirrorIndents/>
        <w:jc w:val="both"/>
        <w:rPr>
          <w:sz w:val="20"/>
          <w:szCs w:val="20"/>
        </w:rPr>
      </w:pPr>
      <w:r w:rsidRPr="001C4901">
        <w:rPr>
          <w:sz w:val="20"/>
          <w:szCs w:val="20"/>
        </w:rPr>
        <w:t>This study collected students' perceptions of education's quality and modality in the early months of the COVID-19 pandemic. While it is not surprising that students have faced many drastic changes in the delivery of education, it is encouraging that students' motivation remains high, with students reaching out to find other ways to continue their professional development. The COVID-19 pandemic has changed the way we view e-learning, from an addition to a program to a necessity for delivering education. The importance of using technology for current students who can only learn through online and digital resources is paramount. This pandemic provides an opportunity to introduce and integrate information technology further into teaching in health professional schools.</w:t>
      </w:r>
    </w:p>
    <w:p w14:paraId="1759381B" w14:textId="54CA2299" w:rsidR="00585CE2" w:rsidRDefault="00585CE2" w:rsidP="00B63B59">
      <w:pPr>
        <w:contextualSpacing/>
        <w:mirrorIndents/>
        <w:jc w:val="both"/>
        <w:rPr>
          <w:sz w:val="20"/>
          <w:szCs w:val="20"/>
        </w:rPr>
      </w:pPr>
    </w:p>
    <w:p w14:paraId="699E29A9" w14:textId="653E2015" w:rsidR="00585CE2" w:rsidRPr="00662CEF" w:rsidRDefault="00585CE2" w:rsidP="00B63B59">
      <w:pPr>
        <w:contextualSpacing/>
        <w:mirrorIndents/>
        <w:jc w:val="both"/>
        <w:rPr>
          <w:b/>
          <w:sz w:val="22"/>
          <w:szCs w:val="22"/>
        </w:rPr>
      </w:pPr>
      <w:r w:rsidRPr="00662CEF">
        <w:rPr>
          <w:b/>
          <w:sz w:val="22"/>
          <w:szCs w:val="22"/>
        </w:rPr>
        <w:t>Acknowledgment</w:t>
      </w:r>
    </w:p>
    <w:p w14:paraId="1B61C516" w14:textId="10D28F59" w:rsidR="00585CE2" w:rsidRDefault="00585CE2" w:rsidP="00B63B59">
      <w:pPr>
        <w:contextualSpacing/>
        <w:mirrorIndents/>
        <w:jc w:val="both"/>
        <w:rPr>
          <w:sz w:val="20"/>
          <w:szCs w:val="20"/>
        </w:rPr>
      </w:pPr>
    </w:p>
    <w:p w14:paraId="6282C009" w14:textId="77777777" w:rsidR="00585CE2" w:rsidRPr="00585CE2" w:rsidRDefault="00585CE2" w:rsidP="00585CE2">
      <w:pPr>
        <w:contextualSpacing/>
        <w:mirrorIndents/>
        <w:jc w:val="both"/>
        <w:rPr>
          <w:sz w:val="20"/>
          <w:szCs w:val="20"/>
        </w:rPr>
      </w:pPr>
      <w:r w:rsidRPr="00585CE2">
        <w:rPr>
          <w:sz w:val="20"/>
          <w:szCs w:val="20"/>
        </w:rPr>
        <w:lastRenderedPageBreak/>
        <w:t>This manuscript has not been previously published and is not under consideration in the same or substantially similar form in any other journal.</w:t>
      </w:r>
    </w:p>
    <w:p w14:paraId="4D0E0085" w14:textId="77777777" w:rsidR="00585CE2" w:rsidRPr="00585CE2" w:rsidRDefault="00585CE2" w:rsidP="00585CE2">
      <w:pPr>
        <w:contextualSpacing/>
        <w:mirrorIndents/>
        <w:jc w:val="both"/>
        <w:rPr>
          <w:sz w:val="20"/>
          <w:szCs w:val="20"/>
        </w:rPr>
      </w:pPr>
    </w:p>
    <w:p w14:paraId="2D36D3B2" w14:textId="77777777" w:rsidR="00585CE2" w:rsidRPr="00585CE2" w:rsidRDefault="00585CE2" w:rsidP="00585CE2">
      <w:pPr>
        <w:contextualSpacing/>
        <w:mirrorIndents/>
        <w:jc w:val="both"/>
        <w:rPr>
          <w:sz w:val="20"/>
          <w:szCs w:val="20"/>
        </w:rPr>
      </w:pPr>
      <w:r w:rsidRPr="00585CE2">
        <w:rPr>
          <w:sz w:val="20"/>
          <w:szCs w:val="20"/>
        </w:rPr>
        <w:t xml:space="preserve">All authors listed are qualified for authorship, and all who are qualified to be authors are listed as authors on the byline. </w:t>
      </w:r>
    </w:p>
    <w:p w14:paraId="2B64244A" w14:textId="77777777" w:rsidR="00585CE2" w:rsidRPr="00585CE2" w:rsidRDefault="00585CE2" w:rsidP="00585CE2">
      <w:pPr>
        <w:contextualSpacing/>
        <w:mirrorIndents/>
        <w:jc w:val="both"/>
        <w:rPr>
          <w:sz w:val="20"/>
          <w:szCs w:val="20"/>
        </w:rPr>
      </w:pPr>
    </w:p>
    <w:p w14:paraId="78D1FF34" w14:textId="28D80144" w:rsidR="00585CE2" w:rsidRDefault="00585CE2" w:rsidP="00585CE2">
      <w:pPr>
        <w:contextualSpacing/>
        <w:mirrorIndents/>
        <w:jc w:val="both"/>
        <w:rPr>
          <w:sz w:val="20"/>
          <w:szCs w:val="20"/>
        </w:rPr>
      </w:pPr>
      <w:r w:rsidRPr="00585CE2">
        <w:rPr>
          <w:sz w:val="20"/>
          <w:szCs w:val="20"/>
        </w:rPr>
        <w:t>This research did not receive any specific grant from funding agencies in the public, commercial, or not-for-profit sectors.</w:t>
      </w:r>
    </w:p>
    <w:p w14:paraId="01B54C0C" w14:textId="233320A2" w:rsidR="00C137FB" w:rsidRDefault="00C137FB" w:rsidP="00585CE2">
      <w:pPr>
        <w:contextualSpacing/>
        <w:mirrorIndents/>
        <w:jc w:val="both"/>
        <w:rPr>
          <w:sz w:val="20"/>
          <w:szCs w:val="20"/>
        </w:rPr>
      </w:pPr>
    </w:p>
    <w:p w14:paraId="11805210" w14:textId="77777777" w:rsidR="001416FD" w:rsidRPr="00B070C2" w:rsidRDefault="001416FD" w:rsidP="00585CE2">
      <w:pPr>
        <w:contextualSpacing/>
        <w:mirrorIndents/>
        <w:jc w:val="both"/>
        <w:rPr>
          <w:b/>
          <w:sz w:val="22"/>
          <w:szCs w:val="22"/>
        </w:rPr>
      </w:pPr>
      <w:r w:rsidRPr="00B070C2">
        <w:rPr>
          <w:b/>
          <w:sz w:val="22"/>
          <w:szCs w:val="22"/>
        </w:rPr>
        <w:t>Declaration of Interest</w:t>
      </w:r>
    </w:p>
    <w:p w14:paraId="57D065D1" w14:textId="77777777" w:rsidR="001416FD" w:rsidRDefault="001416FD" w:rsidP="00585CE2">
      <w:pPr>
        <w:contextualSpacing/>
        <w:mirrorIndents/>
        <w:jc w:val="both"/>
        <w:rPr>
          <w:sz w:val="20"/>
          <w:szCs w:val="20"/>
        </w:rPr>
      </w:pPr>
    </w:p>
    <w:p w14:paraId="7B77AA23" w14:textId="02D8F234" w:rsidR="00C137FB" w:rsidRPr="001C4901" w:rsidRDefault="00C137FB" w:rsidP="00585CE2">
      <w:pPr>
        <w:contextualSpacing/>
        <w:mirrorIndents/>
        <w:jc w:val="both"/>
        <w:rPr>
          <w:sz w:val="20"/>
          <w:szCs w:val="20"/>
        </w:rPr>
      </w:pPr>
      <w:r w:rsidRPr="00C137FB">
        <w:rPr>
          <w:sz w:val="20"/>
          <w:szCs w:val="20"/>
        </w:rPr>
        <w:t>The authors report no conflict of interest</w:t>
      </w:r>
    </w:p>
    <w:p w14:paraId="557C3C39" w14:textId="77777777" w:rsidR="005B3FC2" w:rsidRPr="001C4901" w:rsidRDefault="005B3FC2" w:rsidP="00B63B59">
      <w:pPr>
        <w:contextualSpacing/>
        <w:mirrorIndents/>
        <w:jc w:val="both"/>
        <w:rPr>
          <w:sz w:val="20"/>
          <w:szCs w:val="20"/>
        </w:rPr>
      </w:pPr>
    </w:p>
    <w:p w14:paraId="1A1F4C7F" w14:textId="77777777" w:rsidR="005B3FC2" w:rsidRPr="004909D7" w:rsidRDefault="005B3FC2" w:rsidP="004909D7">
      <w:pPr>
        <w:contextualSpacing/>
        <w:mirrorIndents/>
        <w:jc w:val="center"/>
        <w:rPr>
          <w:b/>
          <w:sz w:val="22"/>
          <w:szCs w:val="22"/>
        </w:rPr>
      </w:pPr>
      <w:r w:rsidRPr="004909D7">
        <w:rPr>
          <w:b/>
          <w:sz w:val="22"/>
          <w:szCs w:val="22"/>
        </w:rPr>
        <w:t>References</w:t>
      </w:r>
    </w:p>
    <w:p w14:paraId="351C0041" w14:textId="77777777" w:rsidR="00AD13F3" w:rsidRPr="00AD13F3" w:rsidRDefault="00AD13F3" w:rsidP="00AD13F3">
      <w:pPr>
        <w:pStyle w:val="Bibliography"/>
        <w:contextualSpacing/>
        <w:mirrorIndents/>
        <w:jc w:val="both"/>
        <w:rPr>
          <w:sz w:val="20"/>
          <w:szCs w:val="20"/>
        </w:rPr>
      </w:pPr>
    </w:p>
    <w:p w14:paraId="0E4283D3" w14:textId="0B022103" w:rsidR="00AD13F3" w:rsidRPr="00326288" w:rsidRDefault="006A573D" w:rsidP="00436E5E">
      <w:pPr>
        <w:pStyle w:val="Bibliography"/>
        <w:numPr>
          <w:ilvl w:val="0"/>
          <w:numId w:val="12"/>
        </w:numPr>
        <w:contextualSpacing/>
        <w:mirrorIndents/>
        <w:jc w:val="both"/>
        <w:rPr>
          <w:sz w:val="20"/>
          <w:szCs w:val="20"/>
        </w:rPr>
      </w:pPr>
      <w:hyperlink r:id="rId9" w:history="1">
        <w:r w:rsidR="00A24E9A" w:rsidRPr="00326288">
          <w:rPr>
            <w:rStyle w:val="Hyperlink"/>
            <w:sz w:val="20"/>
            <w:szCs w:val="20"/>
            <w:u w:val="none"/>
          </w:rPr>
          <w:t>Rose S (2020)</w:t>
        </w:r>
        <w:r w:rsidR="00AD13F3" w:rsidRPr="00326288">
          <w:rPr>
            <w:rStyle w:val="Hyperlink"/>
            <w:sz w:val="20"/>
            <w:szCs w:val="20"/>
            <w:u w:val="none"/>
          </w:rPr>
          <w:t xml:space="preserve"> Medical Student Education in</w:t>
        </w:r>
        <w:r w:rsidR="00A24E9A" w:rsidRPr="00326288">
          <w:rPr>
            <w:rStyle w:val="Hyperlink"/>
            <w:sz w:val="20"/>
            <w:szCs w:val="20"/>
            <w:u w:val="none"/>
          </w:rPr>
          <w:t xml:space="preserve"> the Time of COVID-19. JAMA 323:</w:t>
        </w:r>
        <w:r w:rsidR="00AD13F3" w:rsidRPr="00326288">
          <w:rPr>
            <w:rStyle w:val="Hyperlink"/>
            <w:sz w:val="20"/>
            <w:szCs w:val="20"/>
            <w:u w:val="none"/>
          </w:rPr>
          <w:t xml:space="preserve"> 2131</w:t>
        </w:r>
        <w:r w:rsidR="00B56F6B" w:rsidRPr="00326288">
          <w:rPr>
            <w:rStyle w:val="Hyperlink"/>
            <w:sz w:val="20"/>
            <w:szCs w:val="20"/>
            <w:u w:val="none"/>
          </w:rPr>
          <w:t>-</w:t>
        </w:r>
        <w:r w:rsidR="00AD13F3" w:rsidRPr="00326288">
          <w:rPr>
            <w:rStyle w:val="Hyperlink"/>
            <w:sz w:val="20"/>
            <w:szCs w:val="20"/>
            <w:u w:val="none"/>
          </w:rPr>
          <w:t>2132.</w:t>
        </w:r>
      </w:hyperlink>
    </w:p>
    <w:p w14:paraId="28C7F0B3" w14:textId="7D8AFAB0" w:rsidR="00AD13F3" w:rsidRPr="00326288" w:rsidRDefault="006A573D" w:rsidP="00436E5E">
      <w:pPr>
        <w:pStyle w:val="Bibliography"/>
        <w:numPr>
          <w:ilvl w:val="0"/>
          <w:numId w:val="12"/>
        </w:numPr>
        <w:contextualSpacing/>
        <w:mirrorIndents/>
        <w:jc w:val="both"/>
        <w:rPr>
          <w:sz w:val="20"/>
          <w:szCs w:val="20"/>
        </w:rPr>
      </w:pPr>
      <w:hyperlink r:id="rId10" w:history="1">
        <w:r w:rsidR="00C2525D" w:rsidRPr="00326288">
          <w:rPr>
            <w:rStyle w:val="Hyperlink"/>
            <w:sz w:val="20"/>
            <w:szCs w:val="20"/>
            <w:u w:val="none"/>
          </w:rPr>
          <w:t>Koehler M, Mishra P (2009)</w:t>
        </w:r>
        <w:r w:rsidR="00AD13F3" w:rsidRPr="00326288">
          <w:rPr>
            <w:rStyle w:val="Hyperlink"/>
            <w:sz w:val="20"/>
            <w:szCs w:val="20"/>
            <w:u w:val="none"/>
          </w:rPr>
          <w:t xml:space="preserve"> </w:t>
        </w:r>
        <w:proofErr w:type="gramStart"/>
        <w:r w:rsidR="00AD13F3" w:rsidRPr="00326288">
          <w:rPr>
            <w:rStyle w:val="Hyperlink"/>
            <w:sz w:val="20"/>
            <w:szCs w:val="20"/>
            <w:u w:val="none"/>
          </w:rPr>
          <w:t>What</w:t>
        </w:r>
        <w:proofErr w:type="gramEnd"/>
        <w:r w:rsidR="00AD13F3" w:rsidRPr="00326288">
          <w:rPr>
            <w:rStyle w:val="Hyperlink"/>
            <w:sz w:val="20"/>
            <w:szCs w:val="20"/>
            <w:u w:val="none"/>
          </w:rPr>
          <w:t xml:space="preserve"> is Technological Pedagogical Content Knowledge (TPACK)? Contemporary Issues in Techno</w:t>
        </w:r>
        <w:r w:rsidR="00C2525D" w:rsidRPr="00326288">
          <w:rPr>
            <w:rStyle w:val="Hyperlink"/>
            <w:sz w:val="20"/>
            <w:szCs w:val="20"/>
            <w:u w:val="none"/>
          </w:rPr>
          <w:t>logy and Teacher Education</w:t>
        </w:r>
        <w:r w:rsidR="00AD13F3" w:rsidRPr="00326288">
          <w:rPr>
            <w:rStyle w:val="Hyperlink"/>
            <w:sz w:val="20"/>
            <w:szCs w:val="20"/>
            <w:u w:val="none"/>
          </w:rPr>
          <w:t xml:space="preserve"> 9: 60</w:t>
        </w:r>
        <w:r w:rsidR="00B56F6B" w:rsidRPr="00326288">
          <w:rPr>
            <w:rStyle w:val="Hyperlink"/>
            <w:sz w:val="20"/>
            <w:szCs w:val="20"/>
            <w:u w:val="none"/>
          </w:rPr>
          <w:t>-</w:t>
        </w:r>
        <w:r w:rsidR="00AD13F3" w:rsidRPr="00326288">
          <w:rPr>
            <w:rStyle w:val="Hyperlink"/>
            <w:sz w:val="20"/>
            <w:szCs w:val="20"/>
            <w:u w:val="none"/>
          </w:rPr>
          <w:t>70.</w:t>
        </w:r>
      </w:hyperlink>
    </w:p>
    <w:p w14:paraId="1969BB9A" w14:textId="7B278076" w:rsidR="00AD13F3" w:rsidRPr="00326288" w:rsidRDefault="006A573D" w:rsidP="00436E5E">
      <w:pPr>
        <w:pStyle w:val="Bibliography"/>
        <w:numPr>
          <w:ilvl w:val="0"/>
          <w:numId w:val="12"/>
        </w:numPr>
        <w:contextualSpacing/>
        <w:mirrorIndents/>
        <w:jc w:val="both"/>
        <w:rPr>
          <w:sz w:val="20"/>
          <w:szCs w:val="20"/>
        </w:rPr>
      </w:pPr>
      <w:hyperlink r:id="rId11" w:history="1">
        <w:proofErr w:type="spellStart"/>
        <w:r w:rsidR="004F7D4A" w:rsidRPr="00326288">
          <w:rPr>
            <w:rStyle w:val="Hyperlink"/>
            <w:sz w:val="20"/>
            <w:szCs w:val="20"/>
            <w:u w:val="none"/>
          </w:rPr>
          <w:t>Regmi</w:t>
        </w:r>
        <w:proofErr w:type="spellEnd"/>
        <w:r w:rsidR="004F7D4A" w:rsidRPr="00326288">
          <w:rPr>
            <w:rStyle w:val="Hyperlink"/>
            <w:sz w:val="20"/>
            <w:szCs w:val="20"/>
            <w:u w:val="none"/>
          </w:rPr>
          <w:t xml:space="preserve"> K, Jones L (2020)</w:t>
        </w:r>
        <w:r w:rsidR="00AD13F3" w:rsidRPr="00326288">
          <w:rPr>
            <w:rStyle w:val="Hyperlink"/>
            <w:sz w:val="20"/>
            <w:szCs w:val="20"/>
            <w:u w:val="none"/>
          </w:rPr>
          <w:t xml:space="preserve"> A systematic review of the factors - enablers and barriers - affecting e-learning in health scienc</w:t>
        </w:r>
        <w:r w:rsidR="004F7D4A" w:rsidRPr="00326288">
          <w:rPr>
            <w:rStyle w:val="Hyperlink"/>
            <w:sz w:val="20"/>
            <w:szCs w:val="20"/>
            <w:u w:val="none"/>
          </w:rPr>
          <w:t>es education. BMC Med Educ</w:t>
        </w:r>
        <w:r w:rsidR="00AD13F3" w:rsidRPr="00326288">
          <w:rPr>
            <w:rStyle w:val="Hyperlink"/>
            <w:sz w:val="20"/>
            <w:szCs w:val="20"/>
            <w:u w:val="none"/>
          </w:rPr>
          <w:t xml:space="preserve"> 20: 91.</w:t>
        </w:r>
      </w:hyperlink>
    </w:p>
    <w:p w14:paraId="084EBBBF" w14:textId="48003741" w:rsidR="00AD13F3" w:rsidRPr="00326288" w:rsidRDefault="006A573D" w:rsidP="00436E5E">
      <w:pPr>
        <w:pStyle w:val="Bibliography"/>
        <w:numPr>
          <w:ilvl w:val="0"/>
          <w:numId w:val="12"/>
        </w:numPr>
        <w:contextualSpacing/>
        <w:mirrorIndents/>
        <w:jc w:val="both"/>
        <w:rPr>
          <w:sz w:val="20"/>
          <w:szCs w:val="20"/>
        </w:rPr>
      </w:pPr>
      <w:hyperlink r:id="rId12" w:history="1">
        <w:proofErr w:type="spellStart"/>
        <w:r w:rsidR="00AD13F3" w:rsidRPr="00326288">
          <w:rPr>
            <w:rStyle w:val="Hyperlink"/>
            <w:sz w:val="20"/>
            <w:szCs w:val="20"/>
            <w:u w:val="none"/>
          </w:rPr>
          <w:t>O’Doherty</w:t>
        </w:r>
        <w:proofErr w:type="spellEnd"/>
        <w:r w:rsidR="00AD13F3" w:rsidRPr="00326288">
          <w:rPr>
            <w:rStyle w:val="Hyperlink"/>
            <w:sz w:val="20"/>
            <w:szCs w:val="20"/>
            <w:u w:val="none"/>
          </w:rPr>
          <w:t xml:space="preserve"> D, </w:t>
        </w:r>
        <w:proofErr w:type="spellStart"/>
        <w:r w:rsidR="00AD13F3" w:rsidRPr="00326288">
          <w:rPr>
            <w:rStyle w:val="Hyperlink"/>
            <w:sz w:val="20"/>
            <w:szCs w:val="20"/>
            <w:u w:val="none"/>
          </w:rPr>
          <w:t>Dromey</w:t>
        </w:r>
        <w:proofErr w:type="spellEnd"/>
        <w:r w:rsidR="00AD13F3" w:rsidRPr="00326288">
          <w:rPr>
            <w:rStyle w:val="Hyperlink"/>
            <w:sz w:val="20"/>
            <w:szCs w:val="20"/>
            <w:u w:val="none"/>
          </w:rPr>
          <w:t xml:space="preserve"> M, </w:t>
        </w:r>
        <w:proofErr w:type="spellStart"/>
        <w:r w:rsidR="00AD13F3" w:rsidRPr="00326288">
          <w:rPr>
            <w:rStyle w:val="Hyperlink"/>
            <w:sz w:val="20"/>
            <w:szCs w:val="20"/>
            <w:u w:val="none"/>
          </w:rPr>
          <w:t>Lougheed</w:t>
        </w:r>
        <w:proofErr w:type="spellEnd"/>
        <w:r w:rsidR="00AD13F3" w:rsidRPr="00326288">
          <w:rPr>
            <w:rStyle w:val="Hyperlink"/>
            <w:sz w:val="20"/>
            <w:szCs w:val="20"/>
            <w:u w:val="none"/>
          </w:rPr>
          <w:t xml:space="preserve"> J, et al</w:t>
        </w:r>
        <w:r w:rsidR="00235CCC" w:rsidRPr="00326288">
          <w:rPr>
            <w:rStyle w:val="Hyperlink"/>
            <w:sz w:val="20"/>
            <w:szCs w:val="20"/>
            <w:u w:val="none"/>
          </w:rPr>
          <w:t>.</w:t>
        </w:r>
        <w:r w:rsidR="005730BD" w:rsidRPr="00326288">
          <w:rPr>
            <w:rStyle w:val="Hyperlink"/>
            <w:sz w:val="20"/>
            <w:szCs w:val="20"/>
            <w:u w:val="none"/>
          </w:rPr>
          <w:t xml:space="preserve"> (2018)</w:t>
        </w:r>
        <w:r w:rsidR="00AD13F3" w:rsidRPr="00326288">
          <w:rPr>
            <w:rStyle w:val="Hyperlink"/>
            <w:sz w:val="20"/>
            <w:szCs w:val="20"/>
            <w:u w:val="none"/>
          </w:rPr>
          <w:t xml:space="preserve"> Barriers and solutions to online learning in medical education - an integr</w:t>
        </w:r>
        <w:r w:rsidR="005730BD" w:rsidRPr="00326288">
          <w:rPr>
            <w:rStyle w:val="Hyperlink"/>
            <w:sz w:val="20"/>
            <w:szCs w:val="20"/>
            <w:u w:val="none"/>
          </w:rPr>
          <w:t>ative review. BMC Med Educ</w:t>
        </w:r>
        <w:r w:rsidR="00AD13F3" w:rsidRPr="00326288">
          <w:rPr>
            <w:rStyle w:val="Hyperlink"/>
            <w:sz w:val="20"/>
            <w:szCs w:val="20"/>
            <w:u w:val="none"/>
          </w:rPr>
          <w:t xml:space="preserve"> 18: 130.</w:t>
        </w:r>
      </w:hyperlink>
    </w:p>
    <w:p w14:paraId="4F8535B9" w14:textId="39C8D3D2" w:rsidR="00AD13F3" w:rsidRPr="00326288" w:rsidRDefault="006A573D" w:rsidP="00436E5E">
      <w:pPr>
        <w:pStyle w:val="Bibliography"/>
        <w:numPr>
          <w:ilvl w:val="0"/>
          <w:numId w:val="12"/>
        </w:numPr>
        <w:contextualSpacing/>
        <w:mirrorIndents/>
        <w:jc w:val="both"/>
        <w:rPr>
          <w:sz w:val="20"/>
          <w:szCs w:val="20"/>
        </w:rPr>
      </w:pPr>
      <w:hyperlink r:id="rId13" w:history="1">
        <w:proofErr w:type="spellStart"/>
        <w:r w:rsidR="00AD13F3" w:rsidRPr="00326288">
          <w:rPr>
            <w:rStyle w:val="Hyperlink"/>
            <w:sz w:val="20"/>
            <w:szCs w:val="20"/>
            <w:u w:val="none"/>
          </w:rPr>
          <w:t>Consorti</w:t>
        </w:r>
        <w:proofErr w:type="spellEnd"/>
        <w:r w:rsidR="00AD13F3" w:rsidRPr="00326288">
          <w:rPr>
            <w:rStyle w:val="Hyperlink"/>
            <w:sz w:val="20"/>
            <w:szCs w:val="20"/>
            <w:u w:val="none"/>
          </w:rPr>
          <w:t xml:space="preserve"> F, </w:t>
        </w:r>
        <w:proofErr w:type="spellStart"/>
        <w:r w:rsidR="00AD13F3" w:rsidRPr="00326288">
          <w:rPr>
            <w:rStyle w:val="Hyperlink"/>
            <w:sz w:val="20"/>
            <w:szCs w:val="20"/>
            <w:u w:val="none"/>
          </w:rPr>
          <w:t>Kanter</w:t>
        </w:r>
        <w:proofErr w:type="spellEnd"/>
        <w:r w:rsidR="00AD13F3" w:rsidRPr="00326288">
          <w:rPr>
            <w:rStyle w:val="Hyperlink"/>
            <w:sz w:val="20"/>
            <w:szCs w:val="20"/>
            <w:u w:val="none"/>
          </w:rPr>
          <w:t xml:space="preserve"> SL, </w:t>
        </w:r>
        <w:proofErr w:type="spellStart"/>
        <w:r w:rsidR="00AD13F3" w:rsidRPr="00326288">
          <w:rPr>
            <w:rStyle w:val="Hyperlink"/>
            <w:sz w:val="20"/>
            <w:szCs w:val="20"/>
            <w:u w:val="none"/>
          </w:rPr>
          <w:t>Basili</w:t>
        </w:r>
        <w:proofErr w:type="spellEnd"/>
        <w:r w:rsidR="00AD13F3" w:rsidRPr="00326288">
          <w:rPr>
            <w:rStyle w:val="Hyperlink"/>
            <w:sz w:val="20"/>
            <w:szCs w:val="20"/>
            <w:u w:val="none"/>
          </w:rPr>
          <w:t xml:space="preserve"> S, et al</w:t>
        </w:r>
        <w:r w:rsidR="00305081" w:rsidRPr="00326288">
          <w:rPr>
            <w:rStyle w:val="Hyperlink"/>
            <w:sz w:val="20"/>
            <w:szCs w:val="20"/>
            <w:u w:val="none"/>
          </w:rPr>
          <w:t xml:space="preserve">. </w:t>
        </w:r>
        <w:r w:rsidR="00906B9D" w:rsidRPr="00326288">
          <w:rPr>
            <w:rStyle w:val="Hyperlink"/>
            <w:sz w:val="20"/>
            <w:szCs w:val="20"/>
            <w:u w:val="none"/>
          </w:rPr>
          <w:t>(2021)</w:t>
        </w:r>
        <w:r w:rsidR="00AD13F3" w:rsidRPr="00326288">
          <w:rPr>
            <w:rStyle w:val="Hyperlink"/>
            <w:sz w:val="20"/>
            <w:szCs w:val="20"/>
            <w:u w:val="none"/>
          </w:rPr>
          <w:t>. A SWOT analysis of Italian medical curricular adaptations to the COVID-19 pandemic: A nationwide survey of medical</w:t>
        </w:r>
        <w:r w:rsidR="00906B9D" w:rsidRPr="00326288">
          <w:rPr>
            <w:rStyle w:val="Hyperlink"/>
            <w:sz w:val="20"/>
            <w:szCs w:val="20"/>
            <w:u w:val="none"/>
          </w:rPr>
          <w:t xml:space="preserve"> school leaders. Med Teach</w:t>
        </w:r>
        <w:r w:rsidR="00AD13F3" w:rsidRPr="00326288">
          <w:rPr>
            <w:rStyle w:val="Hyperlink"/>
            <w:sz w:val="20"/>
            <w:szCs w:val="20"/>
            <w:u w:val="none"/>
          </w:rPr>
          <w:t xml:space="preserve"> 1</w:t>
        </w:r>
        <w:r w:rsidR="00B56F6B" w:rsidRPr="00326288">
          <w:rPr>
            <w:rStyle w:val="Hyperlink"/>
            <w:sz w:val="20"/>
            <w:szCs w:val="20"/>
            <w:u w:val="none"/>
          </w:rPr>
          <w:t>-</w:t>
        </w:r>
        <w:r w:rsidR="00AD13F3" w:rsidRPr="00326288">
          <w:rPr>
            <w:rStyle w:val="Hyperlink"/>
            <w:sz w:val="20"/>
            <w:szCs w:val="20"/>
            <w:u w:val="none"/>
          </w:rPr>
          <w:t>8.</w:t>
        </w:r>
      </w:hyperlink>
    </w:p>
    <w:p w14:paraId="446AE1E8" w14:textId="063DFD04" w:rsidR="00AD13F3" w:rsidRPr="00326288" w:rsidRDefault="006A573D" w:rsidP="00436E5E">
      <w:pPr>
        <w:pStyle w:val="Bibliography"/>
        <w:numPr>
          <w:ilvl w:val="0"/>
          <w:numId w:val="12"/>
        </w:numPr>
        <w:contextualSpacing/>
        <w:mirrorIndents/>
        <w:jc w:val="both"/>
        <w:rPr>
          <w:sz w:val="20"/>
          <w:szCs w:val="20"/>
        </w:rPr>
      </w:pPr>
      <w:hyperlink r:id="rId14" w:history="1">
        <w:proofErr w:type="spellStart"/>
        <w:r w:rsidR="00AD13F3" w:rsidRPr="00326288">
          <w:rPr>
            <w:rStyle w:val="Hyperlink"/>
            <w:sz w:val="20"/>
            <w:szCs w:val="20"/>
            <w:u w:val="none"/>
          </w:rPr>
          <w:t>Barteit</w:t>
        </w:r>
        <w:proofErr w:type="spellEnd"/>
        <w:r w:rsidR="00AD13F3" w:rsidRPr="00326288">
          <w:rPr>
            <w:rStyle w:val="Hyperlink"/>
            <w:sz w:val="20"/>
            <w:szCs w:val="20"/>
            <w:u w:val="none"/>
          </w:rPr>
          <w:t xml:space="preserve"> S, </w:t>
        </w:r>
        <w:proofErr w:type="spellStart"/>
        <w:r w:rsidR="00AD13F3" w:rsidRPr="00326288">
          <w:rPr>
            <w:rStyle w:val="Hyperlink"/>
            <w:sz w:val="20"/>
            <w:szCs w:val="20"/>
            <w:u w:val="none"/>
          </w:rPr>
          <w:t>Guzek</w:t>
        </w:r>
        <w:proofErr w:type="spellEnd"/>
        <w:r w:rsidR="00AD13F3" w:rsidRPr="00326288">
          <w:rPr>
            <w:rStyle w:val="Hyperlink"/>
            <w:sz w:val="20"/>
            <w:szCs w:val="20"/>
            <w:u w:val="none"/>
          </w:rPr>
          <w:t xml:space="preserve"> D, </w:t>
        </w:r>
        <w:proofErr w:type="spellStart"/>
        <w:r w:rsidR="00AD13F3" w:rsidRPr="00326288">
          <w:rPr>
            <w:rStyle w:val="Hyperlink"/>
            <w:sz w:val="20"/>
            <w:szCs w:val="20"/>
            <w:u w:val="none"/>
          </w:rPr>
          <w:t>Jahn</w:t>
        </w:r>
        <w:proofErr w:type="spellEnd"/>
        <w:r w:rsidR="00AD13F3" w:rsidRPr="00326288">
          <w:rPr>
            <w:rStyle w:val="Hyperlink"/>
            <w:sz w:val="20"/>
            <w:szCs w:val="20"/>
            <w:u w:val="none"/>
          </w:rPr>
          <w:t xml:space="preserve"> A, et al</w:t>
        </w:r>
        <w:r w:rsidR="00160126" w:rsidRPr="00326288">
          <w:rPr>
            <w:rStyle w:val="Hyperlink"/>
            <w:sz w:val="20"/>
            <w:szCs w:val="20"/>
            <w:u w:val="none"/>
          </w:rPr>
          <w:t xml:space="preserve">. </w:t>
        </w:r>
        <w:r w:rsidR="004C7556" w:rsidRPr="00326288">
          <w:rPr>
            <w:rStyle w:val="Hyperlink"/>
            <w:sz w:val="20"/>
            <w:szCs w:val="20"/>
            <w:u w:val="none"/>
          </w:rPr>
          <w:t>(2020)</w:t>
        </w:r>
        <w:r w:rsidR="00AD13F3" w:rsidRPr="00326288">
          <w:rPr>
            <w:rStyle w:val="Hyperlink"/>
            <w:sz w:val="20"/>
            <w:szCs w:val="20"/>
            <w:u w:val="none"/>
          </w:rPr>
          <w:t xml:space="preserve"> Evaluation of e-learning for medical education in low- and middle-income countries: A syst</w:t>
        </w:r>
        <w:r w:rsidR="000A5C36" w:rsidRPr="00326288">
          <w:rPr>
            <w:rStyle w:val="Hyperlink"/>
            <w:sz w:val="20"/>
            <w:szCs w:val="20"/>
            <w:u w:val="none"/>
          </w:rPr>
          <w:t xml:space="preserve">ematic review. </w:t>
        </w:r>
        <w:proofErr w:type="spellStart"/>
        <w:r w:rsidR="000A5C36" w:rsidRPr="00326288">
          <w:rPr>
            <w:rStyle w:val="Hyperlink"/>
            <w:sz w:val="20"/>
            <w:szCs w:val="20"/>
            <w:u w:val="none"/>
          </w:rPr>
          <w:t>Comput</w:t>
        </w:r>
        <w:proofErr w:type="spellEnd"/>
        <w:r w:rsidR="000A5C36" w:rsidRPr="00326288">
          <w:rPr>
            <w:rStyle w:val="Hyperlink"/>
            <w:sz w:val="20"/>
            <w:szCs w:val="20"/>
            <w:u w:val="none"/>
          </w:rPr>
          <w:t xml:space="preserve"> Educ</w:t>
        </w:r>
        <w:r w:rsidR="00AD13F3" w:rsidRPr="00326288">
          <w:rPr>
            <w:rStyle w:val="Hyperlink"/>
            <w:sz w:val="20"/>
            <w:szCs w:val="20"/>
            <w:u w:val="none"/>
          </w:rPr>
          <w:t xml:space="preserve"> 145: 103726.</w:t>
        </w:r>
      </w:hyperlink>
    </w:p>
    <w:p w14:paraId="53696A1B" w14:textId="6F1D7DCE" w:rsidR="00AD13F3" w:rsidRPr="00326288" w:rsidRDefault="006A573D" w:rsidP="00436E5E">
      <w:pPr>
        <w:pStyle w:val="Bibliography"/>
        <w:numPr>
          <w:ilvl w:val="0"/>
          <w:numId w:val="12"/>
        </w:numPr>
        <w:contextualSpacing/>
        <w:mirrorIndents/>
        <w:jc w:val="both"/>
        <w:rPr>
          <w:sz w:val="20"/>
          <w:szCs w:val="20"/>
        </w:rPr>
      </w:pPr>
      <w:hyperlink r:id="rId15" w:history="1">
        <w:proofErr w:type="spellStart"/>
        <w:r w:rsidR="00AD13F3" w:rsidRPr="00326288">
          <w:rPr>
            <w:rStyle w:val="Hyperlink"/>
            <w:sz w:val="20"/>
            <w:szCs w:val="20"/>
            <w:u w:val="none"/>
          </w:rPr>
          <w:t>Blizak</w:t>
        </w:r>
        <w:proofErr w:type="spellEnd"/>
        <w:r w:rsidR="00AD13F3" w:rsidRPr="00326288">
          <w:rPr>
            <w:rStyle w:val="Hyperlink"/>
            <w:sz w:val="20"/>
            <w:szCs w:val="20"/>
            <w:u w:val="none"/>
          </w:rPr>
          <w:t xml:space="preserve"> D, </w:t>
        </w:r>
        <w:proofErr w:type="spellStart"/>
        <w:r w:rsidR="00AD13F3" w:rsidRPr="00326288">
          <w:rPr>
            <w:rStyle w:val="Hyperlink"/>
            <w:sz w:val="20"/>
            <w:szCs w:val="20"/>
            <w:u w:val="none"/>
          </w:rPr>
          <w:t>Blizak</w:t>
        </w:r>
        <w:proofErr w:type="spellEnd"/>
        <w:r w:rsidR="00AD13F3" w:rsidRPr="00326288">
          <w:rPr>
            <w:rStyle w:val="Hyperlink"/>
            <w:sz w:val="20"/>
            <w:szCs w:val="20"/>
            <w:u w:val="none"/>
          </w:rPr>
          <w:t xml:space="preserve"> S, </w:t>
        </w:r>
        <w:proofErr w:type="spellStart"/>
        <w:r w:rsidR="00AD13F3" w:rsidRPr="00326288">
          <w:rPr>
            <w:rStyle w:val="Hyperlink"/>
            <w:sz w:val="20"/>
            <w:szCs w:val="20"/>
            <w:u w:val="none"/>
          </w:rPr>
          <w:t>Bouchenak</w:t>
        </w:r>
        <w:proofErr w:type="spellEnd"/>
        <w:r w:rsidR="00AD13F3" w:rsidRPr="00326288">
          <w:rPr>
            <w:rStyle w:val="Hyperlink"/>
            <w:sz w:val="20"/>
            <w:szCs w:val="20"/>
            <w:u w:val="none"/>
          </w:rPr>
          <w:t xml:space="preserve"> O, et al</w:t>
        </w:r>
        <w:r w:rsidR="00C47206" w:rsidRPr="00326288">
          <w:rPr>
            <w:rStyle w:val="Hyperlink"/>
            <w:sz w:val="20"/>
            <w:szCs w:val="20"/>
            <w:u w:val="none"/>
          </w:rPr>
          <w:t xml:space="preserve">. </w:t>
        </w:r>
        <w:r w:rsidR="00B660BA" w:rsidRPr="00326288">
          <w:rPr>
            <w:rStyle w:val="Hyperlink"/>
            <w:sz w:val="20"/>
            <w:szCs w:val="20"/>
            <w:u w:val="none"/>
          </w:rPr>
          <w:t>(2020)</w:t>
        </w:r>
        <w:r w:rsidR="00C135E0" w:rsidRPr="00326288">
          <w:rPr>
            <w:rStyle w:val="Hyperlink"/>
            <w:sz w:val="20"/>
            <w:szCs w:val="20"/>
            <w:u w:val="none"/>
          </w:rPr>
          <w:t xml:space="preserve"> </w:t>
        </w:r>
        <w:r w:rsidR="00AD13F3" w:rsidRPr="00326288">
          <w:rPr>
            <w:rStyle w:val="Hyperlink"/>
            <w:sz w:val="20"/>
            <w:szCs w:val="20"/>
            <w:u w:val="none"/>
          </w:rPr>
          <w:t xml:space="preserve">Students’ Perceptions Regarding the Abrupt Transition to Online Learning </w:t>
        </w:r>
        <w:proofErr w:type="gramStart"/>
        <w:r w:rsidR="00AD13F3" w:rsidRPr="00326288">
          <w:rPr>
            <w:rStyle w:val="Hyperlink"/>
            <w:sz w:val="20"/>
            <w:szCs w:val="20"/>
            <w:u w:val="none"/>
          </w:rPr>
          <w:t>During</w:t>
        </w:r>
        <w:proofErr w:type="gramEnd"/>
        <w:r w:rsidR="00AD13F3" w:rsidRPr="00326288">
          <w:rPr>
            <w:rStyle w:val="Hyperlink"/>
            <w:sz w:val="20"/>
            <w:szCs w:val="20"/>
            <w:u w:val="none"/>
          </w:rPr>
          <w:t xml:space="preserve"> the COVID-19 Pandemic: Case of Faculty of Chemistry and Hydrocarbons</w:t>
        </w:r>
        <w:r w:rsidR="00C135E0" w:rsidRPr="00326288">
          <w:rPr>
            <w:rStyle w:val="Hyperlink"/>
            <w:sz w:val="20"/>
            <w:szCs w:val="20"/>
            <w:u w:val="none"/>
          </w:rPr>
          <w:t xml:space="preserve"> at the University of </w:t>
        </w:r>
        <w:proofErr w:type="spellStart"/>
        <w:r w:rsidR="00C135E0" w:rsidRPr="00326288">
          <w:rPr>
            <w:rStyle w:val="Hyperlink"/>
            <w:sz w:val="20"/>
            <w:szCs w:val="20"/>
            <w:u w:val="none"/>
          </w:rPr>
          <w:t>Boumerdes</w:t>
        </w:r>
        <w:proofErr w:type="spellEnd"/>
        <w:r w:rsidR="00C135E0" w:rsidRPr="00326288">
          <w:rPr>
            <w:rStyle w:val="Hyperlink"/>
            <w:sz w:val="20"/>
            <w:szCs w:val="20"/>
            <w:u w:val="none"/>
          </w:rPr>
          <w:t>-</w:t>
        </w:r>
        <w:r w:rsidR="00AD13F3" w:rsidRPr="00326288">
          <w:rPr>
            <w:rStyle w:val="Hyperlink"/>
            <w:sz w:val="20"/>
            <w:szCs w:val="20"/>
            <w:u w:val="none"/>
          </w:rPr>
          <w:t xml:space="preserve">Algeria. Journal </w:t>
        </w:r>
        <w:r w:rsidR="00B660BA" w:rsidRPr="00326288">
          <w:rPr>
            <w:rStyle w:val="Hyperlink"/>
            <w:sz w:val="20"/>
            <w:szCs w:val="20"/>
            <w:u w:val="none"/>
          </w:rPr>
          <w:t>of Chemical Education.</w:t>
        </w:r>
      </w:hyperlink>
    </w:p>
    <w:p w14:paraId="0E186C12" w14:textId="63FBA9AD" w:rsidR="00AD13F3" w:rsidRPr="00326288" w:rsidRDefault="006A573D" w:rsidP="00436E5E">
      <w:pPr>
        <w:pStyle w:val="Bibliography"/>
        <w:numPr>
          <w:ilvl w:val="0"/>
          <w:numId w:val="12"/>
        </w:numPr>
        <w:contextualSpacing/>
        <w:mirrorIndents/>
        <w:jc w:val="both"/>
        <w:rPr>
          <w:sz w:val="20"/>
          <w:szCs w:val="20"/>
        </w:rPr>
      </w:pPr>
      <w:hyperlink r:id="rId16" w:history="1">
        <w:r w:rsidR="00AD13F3" w:rsidRPr="00326288">
          <w:rPr>
            <w:rStyle w:val="Hyperlink"/>
            <w:sz w:val="20"/>
            <w:szCs w:val="20"/>
            <w:u w:val="none"/>
          </w:rPr>
          <w:t>The Net</w:t>
        </w:r>
        <w:r w:rsidR="00687549" w:rsidRPr="00326288">
          <w:rPr>
            <w:rStyle w:val="Hyperlink"/>
            <w:sz w:val="20"/>
            <w:szCs w:val="20"/>
            <w:u w:val="none"/>
          </w:rPr>
          <w:t xml:space="preserve">work: Towards Unity for Health (2020) </w:t>
        </w:r>
        <w:proofErr w:type="gramStart"/>
        <w:r w:rsidR="00AD13F3" w:rsidRPr="00326288">
          <w:rPr>
            <w:rStyle w:val="Hyperlink"/>
            <w:sz w:val="20"/>
            <w:szCs w:val="20"/>
            <w:u w:val="none"/>
          </w:rPr>
          <w:t>The</w:t>
        </w:r>
        <w:proofErr w:type="gramEnd"/>
        <w:r w:rsidR="00AD13F3" w:rsidRPr="00326288">
          <w:rPr>
            <w:rStyle w:val="Hyperlink"/>
            <w:sz w:val="20"/>
            <w:szCs w:val="20"/>
            <w:u w:val="none"/>
          </w:rPr>
          <w:t xml:space="preserve"> Ne</w:t>
        </w:r>
        <w:r w:rsidR="005A3414" w:rsidRPr="00326288">
          <w:rPr>
            <w:rStyle w:val="Hyperlink"/>
            <w:sz w:val="20"/>
            <w:szCs w:val="20"/>
            <w:u w:val="none"/>
          </w:rPr>
          <w:t>twork: Towards Unity for Health.</w:t>
        </w:r>
      </w:hyperlink>
    </w:p>
    <w:p w14:paraId="59F6B558" w14:textId="1E5E274D" w:rsidR="00AD13F3" w:rsidRPr="00326288" w:rsidRDefault="006A573D" w:rsidP="00436E5E">
      <w:pPr>
        <w:pStyle w:val="Bibliography"/>
        <w:numPr>
          <w:ilvl w:val="0"/>
          <w:numId w:val="12"/>
        </w:numPr>
        <w:contextualSpacing/>
        <w:mirrorIndents/>
        <w:jc w:val="both"/>
        <w:rPr>
          <w:sz w:val="20"/>
          <w:szCs w:val="20"/>
        </w:rPr>
      </w:pPr>
      <w:hyperlink r:id="rId17" w:history="1">
        <w:r w:rsidR="00F56B42" w:rsidRPr="00326288">
          <w:rPr>
            <w:rStyle w:val="Hyperlink"/>
            <w:sz w:val="20"/>
            <w:szCs w:val="20"/>
            <w:u w:val="none"/>
          </w:rPr>
          <w:t>Methodology (2021)</w:t>
        </w:r>
        <w:r w:rsidR="00AD13F3" w:rsidRPr="00326288">
          <w:rPr>
            <w:rStyle w:val="Hyperlink"/>
            <w:sz w:val="20"/>
            <w:szCs w:val="20"/>
            <w:u w:val="none"/>
          </w:rPr>
          <w:t xml:space="preserve"> Google Surveys Help</w:t>
        </w:r>
        <w:r w:rsidR="007622E2" w:rsidRPr="00326288">
          <w:rPr>
            <w:rStyle w:val="Hyperlink"/>
            <w:sz w:val="20"/>
            <w:szCs w:val="20"/>
            <w:u w:val="none"/>
          </w:rPr>
          <w:t>.</w:t>
        </w:r>
      </w:hyperlink>
    </w:p>
    <w:p w14:paraId="6897E3C2" w14:textId="309C62E8" w:rsidR="00AD13F3" w:rsidRPr="00326288" w:rsidRDefault="006A573D" w:rsidP="00436E5E">
      <w:pPr>
        <w:pStyle w:val="Bibliography"/>
        <w:numPr>
          <w:ilvl w:val="0"/>
          <w:numId w:val="12"/>
        </w:numPr>
        <w:contextualSpacing/>
        <w:mirrorIndents/>
        <w:jc w:val="both"/>
        <w:rPr>
          <w:sz w:val="20"/>
          <w:szCs w:val="20"/>
        </w:rPr>
      </w:pPr>
      <w:hyperlink r:id="rId18" w:history="1">
        <w:r w:rsidR="00AD13F3" w:rsidRPr="00326288">
          <w:rPr>
            <w:rStyle w:val="Hyperlink"/>
            <w:sz w:val="20"/>
            <w:szCs w:val="20"/>
            <w:u w:val="none"/>
          </w:rPr>
          <w:t xml:space="preserve">World Bank Country and Lending Groups </w:t>
        </w:r>
        <w:r w:rsidR="002C3D47" w:rsidRPr="00326288">
          <w:rPr>
            <w:rStyle w:val="Hyperlink"/>
            <w:sz w:val="20"/>
            <w:szCs w:val="20"/>
            <w:u w:val="none"/>
          </w:rPr>
          <w:t>(2021)</w:t>
        </w:r>
        <w:r w:rsidR="001F59F0" w:rsidRPr="00326288">
          <w:rPr>
            <w:rStyle w:val="Hyperlink"/>
            <w:sz w:val="20"/>
            <w:szCs w:val="20"/>
            <w:u w:val="none"/>
          </w:rPr>
          <w:t xml:space="preserve"> World Bank Data Help Desk.</w:t>
        </w:r>
      </w:hyperlink>
    </w:p>
    <w:p w14:paraId="26096DCF" w14:textId="13793973" w:rsidR="00AD13F3" w:rsidRPr="00326288" w:rsidRDefault="006A573D" w:rsidP="00436E5E">
      <w:pPr>
        <w:pStyle w:val="Bibliography"/>
        <w:numPr>
          <w:ilvl w:val="0"/>
          <w:numId w:val="12"/>
        </w:numPr>
        <w:contextualSpacing/>
        <w:mirrorIndents/>
        <w:jc w:val="both"/>
        <w:rPr>
          <w:sz w:val="20"/>
          <w:szCs w:val="20"/>
        </w:rPr>
      </w:pPr>
      <w:hyperlink r:id="rId19" w:history="1">
        <w:proofErr w:type="spellStart"/>
        <w:r w:rsidR="00AD13F3" w:rsidRPr="00326288">
          <w:rPr>
            <w:rStyle w:val="Hyperlink"/>
            <w:sz w:val="20"/>
            <w:szCs w:val="20"/>
            <w:u w:val="none"/>
          </w:rPr>
          <w:t>Olum</w:t>
        </w:r>
        <w:proofErr w:type="spellEnd"/>
        <w:r w:rsidR="00AD13F3" w:rsidRPr="00326288">
          <w:rPr>
            <w:rStyle w:val="Hyperlink"/>
            <w:sz w:val="20"/>
            <w:szCs w:val="20"/>
            <w:u w:val="none"/>
          </w:rPr>
          <w:t xml:space="preserve"> R, </w:t>
        </w:r>
        <w:proofErr w:type="spellStart"/>
        <w:r w:rsidR="00AD13F3" w:rsidRPr="00326288">
          <w:rPr>
            <w:rStyle w:val="Hyperlink"/>
            <w:sz w:val="20"/>
            <w:szCs w:val="20"/>
            <w:u w:val="none"/>
          </w:rPr>
          <w:t>Atulinda</w:t>
        </w:r>
        <w:proofErr w:type="spellEnd"/>
        <w:r w:rsidR="00AD13F3" w:rsidRPr="00326288">
          <w:rPr>
            <w:rStyle w:val="Hyperlink"/>
            <w:sz w:val="20"/>
            <w:szCs w:val="20"/>
            <w:u w:val="none"/>
          </w:rPr>
          <w:t xml:space="preserve"> L, </w:t>
        </w:r>
        <w:proofErr w:type="spellStart"/>
        <w:r w:rsidR="00AD13F3" w:rsidRPr="00326288">
          <w:rPr>
            <w:rStyle w:val="Hyperlink"/>
            <w:sz w:val="20"/>
            <w:szCs w:val="20"/>
            <w:u w:val="none"/>
          </w:rPr>
          <w:t>Kigozi</w:t>
        </w:r>
        <w:proofErr w:type="spellEnd"/>
        <w:r w:rsidR="00AD13F3" w:rsidRPr="00326288">
          <w:rPr>
            <w:rStyle w:val="Hyperlink"/>
            <w:sz w:val="20"/>
            <w:szCs w:val="20"/>
            <w:u w:val="none"/>
          </w:rPr>
          <w:t xml:space="preserve"> E, et al</w:t>
        </w:r>
        <w:r w:rsidR="00840444" w:rsidRPr="00326288">
          <w:rPr>
            <w:rStyle w:val="Hyperlink"/>
            <w:sz w:val="20"/>
            <w:szCs w:val="20"/>
            <w:u w:val="none"/>
          </w:rPr>
          <w:t xml:space="preserve">. </w:t>
        </w:r>
        <w:r w:rsidR="00A3727D" w:rsidRPr="00326288">
          <w:rPr>
            <w:rStyle w:val="Hyperlink"/>
            <w:sz w:val="20"/>
            <w:szCs w:val="20"/>
            <w:u w:val="none"/>
          </w:rPr>
          <w:t>(2020)</w:t>
        </w:r>
        <w:r w:rsidR="005458E8" w:rsidRPr="00326288">
          <w:rPr>
            <w:rStyle w:val="Hyperlink"/>
            <w:sz w:val="20"/>
            <w:szCs w:val="20"/>
            <w:u w:val="none"/>
          </w:rPr>
          <w:t xml:space="preserve"> </w:t>
        </w:r>
        <w:r w:rsidR="00AD13F3" w:rsidRPr="00326288">
          <w:rPr>
            <w:rStyle w:val="Hyperlink"/>
            <w:sz w:val="20"/>
            <w:szCs w:val="20"/>
            <w:u w:val="none"/>
          </w:rPr>
          <w:t xml:space="preserve">Medical Education and E-Learning During COVID-19 Pandemic: Awareness, Attitudes, Preferences, and Barriers Among Undergraduate Medicine and Nursing Students at </w:t>
        </w:r>
        <w:proofErr w:type="spellStart"/>
        <w:r w:rsidR="00AD13F3" w:rsidRPr="00326288">
          <w:rPr>
            <w:rStyle w:val="Hyperlink"/>
            <w:sz w:val="20"/>
            <w:szCs w:val="20"/>
            <w:u w:val="none"/>
          </w:rPr>
          <w:t>Makerere</w:t>
        </w:r>
        <w:proofErr w:type="spellEnd"/>
        <w:r w:rsidR="00AD13F3" w:rsidRPr="00326288">
          <w:rPr>
            <w:rStyle w:val="Hyperlink"/>
            <w:sz w:val="20"/>
            <w:szCs w:val="20"/>
            <w:u w:val="none"/>
          </w:rPr>
          <w:t xml:space="preserve"> University, Uga</w:t>
        </w:r>
        <w:r w:rsidR="00A3727D" w:rsidRPr="00326288">
          <w:rPr>
            <w:rStyle w:val="Hyperlink"/>
            <w:sz w:val="20"/>
            <w:szCs w:val="20"/>
            <w:u w:val="none"/>
          </w:rPr>
          <w:t xml:space="preserve">nda. J Med Educ </w:t>
        </w:r>
        <w:proofErr w:type="spellStart"/>
        <w:r w:rsidR="00A3727D" w:rsidRPr="00326288">
          <w:rPr>
            <w:rStyle w:val="Hyperlink"/>
            <w:sz w:val="20"/>
            <w:szCs w:val="20"/>
            <w:u w:val="none"/>
          </w:rPr>
          <w:t>Curric</w:t>
        </w:r>
        <w:proofErr w:type="spellEnd"/>
        <w:r w:rsidR="00A3727D" w:rsidRPr="00326288">
          <w:rPr>
            <w:rStyle w:val="Hyperlink"/>
            <w:sz w:val="20"/>
            <w:szCs w:val="20"/>
            <w:u w:val="none"/>
          </w:rPr>
          <w:t xml:space="preserve"> Dev</w:t>
        </w:r>
        <w:r w:rsidR="00AD13F3" w:rsidRPr="00326288">
          <w:rPr>
            <w:rStyle w:val="Hyperlink"/>
            <w:sz w:val="20"/>
            <w:szCs w:val="20"/>
            <w:u w:val="none"/>
          </w:rPr>
          <w:t xml:space="preserve"> 7: 2382120520973212.</w:t>
        </w:r>
      </w:hyperlink>
    </w:p>
    <w:p w14:paraId="52C659FE" w14:textId="2DF7602E" w:rsidR="00AD13F3" w:rsidRPr="00326288" w:rsidRDefault="006A573D" w:rsidP="00436E5E">
      <w:pPr>
        <w:pStyle w:val="Bibliography"/>
        <w:numPr>
          <w:ilvl w:val="0"/>
          <w:numId w:val="12"/>
        </w:numPr>
        <w:contextualSpacing/>
        <w:mirrorIndents/>
        <w:jc w:val="both"/>
        <w:rPr>
          <w:sz w:val="20"/>
          <w:szCs w:val="20"/>
        </w:rPr>
      </w:pPr>
      <w:hyperlink r:id="rId20" w:history="1">
        <w:proofErr w:type="spellStart"/>
        <w:r w:rsidR="00AD13F3" w:rsidRPr="00326288">
          <w:rPr>
            <w:rStyle w:val="Hyperlink"/>
            <w:sz w:val="20"/>
            <w:szCs w:val="20"/>
            <w:u w:val="none"/>
          </w:rPr>
          <w:t>Dwidienawati</w:t>
        </w:r>
        <w:proofErr w:type="spellEnd"/>
        <w:r w:rsidR="00AD13F3" w:rsidRPr="00326288">
          <w:rPr>
            <w:rStyle w:val="Hyperlink"/>
            <w:sz w:val="20"/>
            <w:szCs w:val="20"/>
            <w:u w:val="none"/>
          </w:rPr>
          <w:t xml:space="preserve"> D, </w:t>
        </w:r>
        <w:proofErr w:type="spellStart"/>
        <w:r w:rsidR="00AD13F3" w:rsidRPr="00326288">
          <w:rPr>
            <w:rStyle w:val="Hyperlink"/>
            <w:sz w:val="20"/>
            <w:szCs w:val="20"/>
            <w:u w:val="none"/>
          </w:rPr>
          <w:t>Abdinagoro</w:t>
        </w:r>
        <w:proofErr w:type="spellEnd"/>
        <w:r w:rsidR="00AD13F3" w:rsidRPr="00326288">
          <w:rPr>
            <w:rStyle w:val="Hyperlink"/>
            <w:sz w:val="20"/>
            <w:szCs w:val="20"/>
            <w:u w:val="none"/>
          </w:rPr>
          <w:t xml:space="preserve"> SB, </w:t>
        </w:r>
        <w:proofErr w:type="spellStart"/>
        <w:r w:rsidR="00AD13F3" w:rsidRPr="00326288">
          <w:rPr>
            <w:rStyle w:val="Hyperlink"/>
            <w:sz w:val="20"/>
            <w:szCs w:val="20"/>
            <w:u w:val="none"/>
          </w:rPr>
          <w:t>Tjahjana</w:t>
        </w:r>
        <w:proofErr w:type="spellEnd"/>
        <w:r w:rsidR="00AD13F3" w:rsidRPr="00326288">
          <w:rPr>
            <w:rStyle w:val="Hyperlink"/>
            <w:sz w:val="20"/>
            <w:szCs w:val="20"/>
            <w:u w:val="none"/>
          </w:rPr>
          <w:t xml:space="preserve"> D, et al</w:t>
        </w:r>
        <w:r w:rsidR="002D76F8" w:rsidRPr="00326288">
          <w:rPr>
            <w:rStyle w:val="Hyperlink"/>
            <w:sz w:val="20"/>
            <w:szCs w:val="20"/>
            <w:u w:val="none"/>
          </w:rPr>
          <w:t xml:space="preserve">. </w:t>
        </w:r>
        <w:r w:rsidR="001678D9" w:rsidRPr="00326288">
          <w:rPr>
            <w:rStyle w:val="Hyperlink"/>
            <w:sz w:val="20"/>
            <w:szCs w:val="20"/>
            <w:u w:val="none"/>
          </w:rPr>
          <w:t>(2020)</w:t>
        </w:r>
        <w:r w:rsidR="00AD13F3" w:rsidRPr="00326288">
          <w:rPr>
            <w:rStyle w:val="Hyperlink"/>
            <w:sz w:val="20"/>
            <w:szCs w:val="20"/>
            <w:u w:val="none"/>
          </w:rPr>
          <w:t xml:space="preserve"> E-Learning Implementation during The COVID-19 </w:t>
        </w:r>
        <w:proofErr w:type="spellStart"/>
        <w:r w:rsidR="00AD13F3" w:rsidRPr="00326288">
          <w:rPr>
            <w:rStyle w:val="Hyperlink"/>
            <w:sz w:val="20"/>
            <w:szCs w:val="20"/>
            <w:u w:val="none"/>
          </w:rPr>
          <w:t>outbreak:The</w:t>
        </w:r>
        <w:proofErr w:type="spellEnd"/>
        <w:r w:rsidR="00AD13F3" w:rsidRPr="00326288">
          <w:rPr>
            <w:rStyle w:val="Hyperlink"/>
            <w:sz w:val="20"/>
            <w:szCs w:val="20"/>
            <w:u w:val="none"/>
          </w:rPr>
          <w:t xml:space="preserve"> Perspective of Students and Lecturers. Journal </w:t>
        </w:r>
        <w:r w:rsidR="001678D9" w:rsidRPr="00326288">
          <w:rPr>
            <w:rStyle w:val="Hyperlink"/>
            <w:sz w:val="20"/>
            <w:szCs w:val="20"/>
            <w:u w:val="none"/>
          </w:rPr>
          <w:t>of the Social Sciences</w:t>
        </w:r>
        <w:r w:rsidR="00AD13F3" w:rsidRPr="00326288">
          <w:rPr>
            <w:rStyle w:val="Hyperlink"/>
            <w:sz w:val="20"/>
            <w:szCs w:val="20"/>
            <w:u w:val="none"/>
          </w:rPr>
          <w:t xml:space="preserve"> 13.</w:t>
        </w:r>
      </w:hyperlink>
    </w:p>
    <w:p w14:paraId="1E773D2B" w14:textId="30966E22" w:rsidR="00AD13F3" w:rsidRPr="00326288" w:rsidRDefault="006A573D" w:rsidP="00436E5E">
      <w:pPr>
        <w:pStyle w:val="Bibliography"/>
        <w:numPr>
          <w:ilvl w:val="0"/>
          <w:numId w:val="12"/>
        </w:numPr>
        <w:contextualSpacing/>
        <w:mirrorIndents/>
        <w:jc w:val="both"/>
        <w:rPr>
          <w:sz w:val="20"/>
          <w:szCs w:val="20"/>
        </w:rPr>
      </w:pPr>
      <w:hyperlink r:id="rId21" w:history="1">
        <w:proofErr w:type="spellStart"/>
        <w:r w:rsidR="00AD13F3" w:rsidRPr="00326288">
          <w:rPr>
            <w:rStyle w:val="Hyperlink"/>
            <w:sz w:val="20"/>
            <w:szCs w:val="20"/>
            <w:u w:val="none"/>
          </w:rPr>
          <w:t>Muflih</w:t>
        </w:r>
        <w:proofErr w:type="spellEnd"/>
        <w:r w:rsidR="00AD13F3" w:rsidRPr="00326288">
          <w:rPr>
            <w:rStyle w:val="Hyperlink"/>
            <w:sz w:val="20"/>
            <w:szCs w:val="20"/>
            <w:u w:val="none"/>
          </w:rPr>
          <w:t xml:space="preserve"> S, </w:t>
        </w:r>
        <w:proofErr w:type="spellStart"/>
        <w:r w:rsidR="00AD13F3" w:rsidRPr="00326288">
          <w:rPr>
            <w:rStyle w:val="Hyperlink"/>
            <w:sz w:val="20"/>
            <w:szCs w:val="20"/>
            <w:u w:val="none"/>
          </w:rPr>
          <w:t>Abuhammad</w:t>
        </w:r>
        <w:proofErr w:type="spellEnd"/>
        <w:r w:rsidR="00AD13F3" w:rsidRPr="00326288">
          <w:rPr>
            <w:rStyle w:val="Hyperlink"/>
            <w:sz w:val="20"/>
            <w:szCs w:val="20"/>
            <w:u w:val="none"/>
          </w:rPr>
          <w:t xml:space="preserve"> S, </w:t>
        </w:r>
        <w:proofErr w:type="spellStart"/>
        <w:r w:rsidR="00AD13F3" w:rsidRPr="00326288">
          <w:rPr>
            <w:rStyle w:val="Hyperlink"/>
            <w:sz w:val="20"/>
            <w:szCs w:val="20"/>
            <w:u w:val="none"/>
          </w:rPr>
          <w:t>Karasneh</w:t>
        </w:r>
        <w:proofErr w:type="spellEnd"/>
        <w:r w:rsidR="00AD13F3" w:rsidRPr="00326288">
          <w:rPr>
            <w:rStyle w:val="Hyperlink"/>
            <w:sz w:val="20"/>
            <w:szCs w:val="20"/>
            <w:u w:val="none"/>
          </w:rPr>
          <w:t xml:space="preserve"> R, et al</w:t>
        </w:r>
        <w:r w:rsidR="00E41BDD" w:rsidRPr="00326288">
          <w:rPr>
            <w:rStyle w:val="Hyperlink"/>
            <w:sz w:val="20"/>
            <w:szCs w:val="20"/>
            <w:u w:val="none"/>
          </w:rPr>
          <w:t xml:space="preserve">. </w:t>
        </w:r>
        <w:r w:rsidR="00355121" w:rsidRPr="00326288">
          <w:rPr>
            <w:rStyle w:val="Hyperlink"/>
            <w:sz w:val="20"/>
            <w:szCs w:val="20"/>
            <w:u w:val="none"/>
          </w:rPr>
          <w:t>(2020)</w:t>
        </w:r>
        <w:r w:rsidR="00AD13F3" w:rsidRPr="00326288">
          <w:rPr>
            <w:rStyle w:val="Hyperlink"/>
            <w:sz w:val="20"/>
            <w:szCs w:val="20"/>
            <w:u w:val="none"/>
          </w:rPr>
          <w:t xml:space="preserve"> Online Education for Undergraduate Health Professional Education during the COVID-19 Pandemic: Attitudes</w:t>
        </w:r>
        <w:r w:rsidR="00355121" w:rsidRPr="00326288">
          <w:rPr>
            <w:rStyle w:val="Hyperlink"/>
            <w:sz w:val="20"/>
            <w:szCs w:val="20"/>
            <w:u w:val="none"/>
          </w:rPr>
          <w:t>, Barriers, and Ethical Issues.</w:t>
        </w:r>
      </w:hyperlink>
    </w:p>
    <w:p w14:paraId="5F725091" w14:textId="6DBE18B1" w:rsidR="00AD13F3" w:rsidRPr="00326288" w:rsidRDefault="006A573D" w:rsidP="00436E5E">
      <w:pPr>
        <w:pStyle w:val="Bibliography"/>
        <w:numPr>
          <w:ilvl w:val="0"/>
          <w:numId w:val="12"/>
        </w:numPr>
        <w:contextualSpacing/>
        <w:mirrorIndents/>
        <w:jc w:val="both"/>
        <w:rPr>
          <w:sz w:val="20"/>
          <w:szCs w:val="20"/>
        </w:rPr>
      </w:pPr>
      <w:hyperlink r:id="rId22" w:history="1">
        <w:proofErr w:type="spellStart"/>
        <w:r w:rsidR="00836BDE" w:rsidRPr="00326288">
          <w:rPr>
            <w:rStyle w:val="Hyperlink"/>
            <w:sz w:val="20"/>
            <w:szCs w:val="20"/>
            <w:u w:val="none"/>
          </w:rPr>
          <w:t>Deery</w:t>
        </w:r>
        <w:proofErr w:type="spellEnd"/>
        <w:r w:rsidR="00836BDE" w:rsidRPr="00326288">
          <w:rPr>
            <w:rStyle w:val="Hyperlink"/>
            <w:sz w:val="20"/>
            <w:szCs w:val="20"/>
            <w:u w:val="none"/>
          </w:rPr>
          <w:t xml:space="preserve"> C (2020)</w:t>
        </w:r>
        <w:r w:rsidR="00AD13F3" w:rsidRPr="00326288">
          <w:rPr>
            <w:rStyle w:val="Hyperlink"/>
            <w:sz w:val="20"/>
            <w:szCs w:val="20"/>
            <w:u w:val="none"/>
          </w:rPr>
          <w:t xml:space="preserve"> The COVID-19 pandemic: implications for dental </w:t>
        </w:r>
        <w:r w:rsidR="00836BDE" w:rsidRPr="00326288">
          <w:rPr>
            <w:rStyle w:val="Hyperlink"/>
            <w:sz w:val="20"/>
            <w:szCs w:val="20"/>
            <w:u w:val="none"/>
          </w:rPr>
          <w:t xml:space="preserve">education. </w:t>
        </w:r>
        <w:proofErr w:type="spellStart"/>
        <w:r w:rsidR="00836BDE" w:rsidRPr="00326288">
          <w:rPr>
            <w:rStyle w:val="Hyperlink"/>
            <w:sz w:val="20"/>
            <w:szCs w:val="20"/>
            <w:u w:val="none"/>
          </w:rPr>
          <w:t>Evid</w:t>
        </w:r>
        <w:proofErr w:type="spellEnd"/>
        <w:r w:rsidR="00836BDE" w:rsidRPr="00326288">
          <w:rPr>
            <w:rStyle w:val="Hyperlink"/>
            <w:sz w:val="20"/>
            <w:szCs w:val="20"/>
            <w:u w:val="none"/>
          </w:rPr>
          <w:t xml:space="preserve"> Based Dent</w:t>
        </w:r>
        <w:r w:rsidR="00AD13F3" w:rsidRPr="00326288">
          <w:rPr>
            <w:rStyle w:val="Hyperlink"/>
            <w:sz w:val="20"/>
            <w:szCs w:val="20"/>
            <w:u w:val="none"/>
          </w:rPr>
          <w:t xml:space="preserve"> 21: 46</w:t>
        </w:r>
        <w:r w:rsidR="00B56F6B" w:rsidRPr="00326288">
          <w:rPr>
            <w:rStyle w:val="Hyperlink"/>
            <w:sz w:val="20"/>
            <w:szCs w:val="20"/>
            <w:u w:val="none"/>
          </w:rPr>
          <w:t>-</w:t>
        </w:r>
        <w:r w:rsidR="00AD13F3" w:rsidRPr="00326288">
          <w:rPr>
            <w:rStyle w:val="Hyperlink"/>
            <w:sz w:val="20"/>
            <w:szCs w:val="20"/>
            <w:u w:val="none"/>
          </w:rPr>
          <w:t>47.</w:t>
        </w:r>
      </w:hyperlink>
    </w:p>
    <w:p w14:paraId="3F89C27D" w14:textId="7B57AE13" w:rsidR="00AD13F3" w:rsidRPr="00326288" w:rsidRDefault="006A573D" w:rsidP="00436E5E">
      <w:pPr>
        <w:pStyle w:val="Bibliography"/>
        <w:numPr>
          <w:ilvl w:val="0"/>
          <w:numId w:val="12"/>
        </w:numPr>
        <w:contextualSpacing/>
        <w:mirrorIndents/>
        <w:jc w:val="both"/>
        <w:rPr>
          <w:sz w:val="20"/>
          <w:szCs w:val="20"/>
        </w:rPr>
      </w:pPr>
      <w:hyperlink r:id="rId23" w:history="1">
        <w:proofErr w:type="spellStart"/>
        <w:r w:rsidR="00761C1D" w:rsidRPr="00326288">
          <w:rPr>
            <w:rStyle w:val="Hyperlink"/>
            <w:sz w:val="20"/>
            <w:szCs w:val="20"/>
            <w:u w:val="none"/>
          </w:rPr>
          <w:t>Mahanta</w:t>
        </w:r>
        <w:proofErr w:type="spellEnd"/>
        <w:r w:rsidR="00761C1D" w:rsidRPr="00326288">
          <w:rPr>
            <w:rStyle w:val="Hyperlink"/>
            <w:sz w:val="20"/>
            <w:szCs w:val="20"/>
            <w:u w:val="none"/>
          </w:rPr>
          <w:t xml:space="preserve"> D, Ahmed M (2021)</w:t>
        </w:r>
        <w:r w:rsidR="00AD13F3" w:rsidRPr="00326288">
          <w:rPr>
            <w:rStyle w:val="Hyperlink"/>
            <w:sz w:val="20"/>
            <w:szCs w:val="20"/>
            <w:u w:val="none"/>
          </w:rPr>
          <w:t xml:space="preserve"> E-Learning Objectives, Methodologies,</w:t>
        </w:r>
        <w:r w:rsidR="00761C1D" w:rsidRPr="00326288">
          <w:rPr>
            <w:rStyle w:val="Hyperlink"/>
            <w:sz w:val="20"/>
            <w:szCs w:val="20"/>
            <w:u w:val="none"/>
          </w:rPr>
          <w:t xml:space="preserve"> Tools and its Limitation </w:t>
        </w:r>
        <w:r w:rsidR="00AD13F3" w:rsidRPr="00326288">
          <w:rPr>
            <w:rStyle w:val="Hyperlink"/>
            <w:sz w:val="20"/>
            <w:szCs w:val="20"/>
            <w:u w:val="none"/>
          </w:rPr>
          <w:t>2: 6.</w:t>
        </w:r>
      </w:hyperlink>
    </w:p>
    <w:p w14:paraId="22F6F9E6" w14:textId="7BF15B9D" w:rsidR="00AD13F3" w:rsidRPr="00326288" w:rsidRDefault="006A573D" w:rsidP="00436E5E">
      <w:pPr>
        <w:pStyle w:val="Bibliography"/>
        <w:numPr>
          <w:ilvl w:val="0"/>
          <w:numId w:val="12"/>
        </w:numPr>
        <w:contextualSpacing/>
        <w:mirrorIndents/>
        <w:jc w:val="both"/>
        <w:rPr>
          <w:sz w:val="20"/>
          <w:szCs w:val="20"/>
        </w:rPr>
      </w:pPr>
      <w:hyperlink r:id="rId24" w:history="1">
        <w:r w:rsidR="00AD13F3" w:rsidRPr="00326288">
          <w:rPr>
            <w:rStyle w:val="Hyperlink"/>
            <w:sz w:val="20"/>
            <w:szCs w:val="20"/>
            <w:u w:val="none"/>
          </w:rPr>
          <w:t>Brooks SK, Webster RK, Smith LE, et al</w:t>
        </w:r>
        <w:r w:rsidR="00891A99" w:rsidRPr="00326288">
          <w:rPr>
            <w:rStyle w:val="Hyperlink"/>
            <w:sz w:val="20"/>
            <w:szCs w:val="20"/>
            <w:u w:val="none"/>
          </w:rPr>
          <w:t xml:space="preserve">. </w:t>
        </w:r>
        <w:r w:rsidR="00101E9C" w:rsidRPr="00326288">
          <w:rPr>
            <w:rStyle w:val="Hyperlink"/>
            <w:sz w:val="20"/>
            <w:szCs w:val="20"/>
            <w:u w:val="none"/>
          </w:rPr>
          <w:t>(2020)</w:t>
        </w:r>
        <w:r w:rsidR="006F5ECB" w:rsidRPr="00326288">
          <w:rPr>
            <w:rStyle w:val="Hyperlink"/>
            <w:sz w:val="20"/>
            <w:szCs w:val="20"/>
            <w:u w:val="none"/>
          </w:rPr>
          <w:t xml:space="preserve"> </w:t>
        </w:r>
        <w:proofErr w:type="gramStart"/>
        <w:r w:rsidR="00AD13F3" w:rsidRPr="00326288">
          <w:rPr>
            <w:rStyle w:val="Hyperlink"/>
            <w:sz w:val="20"/>
            <w:szCs w:val="20"/>
            <w:u w:val="none"/>
          </w:rPr>
          <w:t>The</w:t>
        </w:r>
        <w:proofErr w:type="gramEnd"/>
        <w:r w:rsidR="00AD13F3" w:rsidRPr="00326288">
          <w:rPr>
            <w:rStyle w:val="Hyperlink"/>
            <w:sz w:val="20"/>
            <w:szCs w:val="20"/>
            <w:u w:val="none"/>
          </w:rPr>
          <w:t xml:space="preserve"> psychological impact of quarantine and how to reduce it: rapid revi</w:t>
        </w:r>
        <w:r w:rsidR="00101E9C" w:rsidRPr="00326288">
          <w:rPr>
            <w:rStyle w:val="Hyperlink"/>
            <w:sz w:val="20"/>
            <w:szCs w:val="20"/>
            <w:u w:val="none"/>
          </w:rPr>
          <w:t>ew of the evidence. Lancet</w:t>
        </w:r>
        <w:r w:rsidR="00AD13F3" w:rsidRPr="00326288">
          <w:rPr>
            <w:rStyle w:val="Hyperlink"/>
            <w:sz w:val="20"/>
            <w:szCs w:val="20"/>
            <w:u w:val="none"/>
          </w:rPr>
          <w:t xml:space="preserve"> 395: 912</w:t>
        </w:r>
        <w:r w:rsidR="00B56F6B" w:rsidRPr="00326288">
          <w:rPr>
            <w:rStyle w:val="Hyperlink"/>
            <w:sz w:val="20"/>
            <w:szCs w:val="20"/>
            <w:u w:val="none"/>
          </w:rPr>
          <w:t>-</w:t>
        </w:r>
        <w:r w:rsidR="00AD13F3" w:rsidRPr="00326288">
          <w:rPr>
            <w:rStyle w:val="Hyperlink"/>
            <w:sz w:val="20"/>
            <w:szCs w:val="20"/>
            <w:u w:val="none"/>
          </w:rPr>
          <w:t>920.</w:t>
        </w:r>
      </w:hyperlink>
    </w:p>
    <w:p w14:paraId="77DDA0C7" w14:textId="7ED16C2E" w:rsidR="00AD13F3" w:rsidRPr="00326288" w:rsidRDefault="006A573D" w:rsidP="00436E5E">
      <w:pPr>
        <w:pStyle w:val="Bibliography"/>
        <w:numPr>
          <w:ilvl w:val="0"/>
          <w:numId w:val="12"/>
        </w:numPr>
        <w:contextualSpacing/>
        <w:mirrorIndents/>
        <w:jc w:val="both"/>
        <w:rPr>
          <w:sz w:val="20"/>
          <w:szCs w:val="20"/>
        </w:rPr>
      </w:pPr>
      <w:hyperlink r:id="rId25" w:history="1">
        <w:proofErr w:type="gramStart"/>
        <w:r w:rsidR="00FB1312" w:rsidRPr="00326288">
          <w:rPr>
            <w:rStyle w:val="Hyperlink"/>
            <w:sz w:val="20"/>
            <w:szCs w:val="20"/>
            <w:u w:val="none"/>
          </w:rPr>
          <w:t>WHO</w:t>
        </w:r>
        <w:proofErr w:type="gramEnd"/>
        <w:r w:rsidR="00FB1312" w:rsidRPr="00326288">
          <w:rPr>
            <w:rStyle w:val="Hyperlink"/>
            <w:sz w:val="20"/>
            <w:szCs w:val="20"/>
            <w:u w:val="none"/>
          </w:rPr>
          <w:t xml:space="preserve"> (2017) </w:t>
        </w:r>
        <w:r w:rsidR="00AD13F3" w:rsidRPr="00326288">
          <w:rPr>
            <w:rStyle w:val="Hyperlink"/>
            <w:sz w:val="20"/>
            <w:szCs w:val="20"/>
            <w:u w:val="none"/>
          </w:rPr>
          <w:t xml:space="preserve">High-Level Commission on Health </w:t>
        </w:r>
        <w:r w:rsidR="00F4789B" w:rsidRPr="00326288">
          <w:rPr>
            <w:rStyle w:val="Hyperlink"/>
            <w:sz w:val="20"/>
            <w:szCs w:val="20"/>
            <w:u w:val="none"/>
          </w:rPr>
          <w:t>Employment and Economic Growth.</w:t>
        </w:r>
      </w:hyperlink>
    </w:p>
    <w:p w14:paraId="025972DB" w14:textId="4051C517" w:rsidR="005B3FC2" w:rsidRPr="00326288" w:rsidRDefault="006A573D" w:rsidP="00A139A5">
      <w:pPr>
        <w:pStyle w:val="Bibliography"/>
        <w:numPr>
          <w:ilvl w:val="0"/>
          <w:numId w:val="12"/>
        </w:numPr>
        <w:contextualSpacing/>
        <w:mirrorIndents/>
        <w:jc w:val="both"/>
        <w:rPr>
          <w:sz w:val="20"/>
          <w:szCs w:val="20"/>
        </w:rPr>
      </w:pPr>
      <w:hyperlink r:id="rId26" w:history="1">
        <w:r w:rsidR="00EE771D" w:rsidRPr="00436E5E">
          <w:rPr>
            <w:rStyle w:val="Hyperlink"/>
            <w:sz w:val="20"/>
            <w:szCs w:val="20"/>
            <w:u w:val="none"/>
          </w:rPr>
          <w:t>WHO (2021)</w:t>
        </w:r>
        <w:r w:rsidR="00AD13F3" w:rsidRPr="00436E5E">
          <w:rPr>
            <w:rStyle w:val="Hyperlink"/>
            <w:sz w:val="20"/>
            <w:szCs w:val="20"/>
            <w:u w:val="none"/>
          </w:rPr>
          <w:t xml:space="preserve"> Global strategy on human resour</w:t>
        </w:r>
        <w:r w:rsidR="0022354E" w:rsidRPr="00436E5E">
          <w:rPr>
            <w:rStyle w:val="Hyperlink"/>
            <w:sz w:val="20"/>
            <w:szCs w:val="20"/>
            <w:u w:val="none"/>
          </w:rPr>
          <w:t>ces for health: Workforce 2030.</w:t>
        </w:r>
      </w:hyperlink>
    </w:p>
    <w:sectPr w:rsidR="005B3FC2" w:rsidRPr="00326288" w:rsidSect="001A2FB5">
      <w:headerReference w:type="even" r:id="rId27"/>
      <w:headerReference w:type="default" r:id="rId28"/>
      <w:footerReference w:type="even" r:id="rId29"/>
      <w:footerReference w:type="default" r:id="rId30"/>
      <w:headerReference w:type="first" r:id="rId31"/>
      <w:footerReference w:type="first" r:id="rId3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5A3C0" w14:textId="77777777" w:rsidR="006A573D" w:rsidRDefault="006A573D" w:rsidP="00E5175D">
      <w:r>
        <w:separator/>
      </w:r>
    </w:p>
  </w:endnote>
  <w:endnote w:type="continuationSeparator" w:id="0">
    <w:p w14:paraId="5A7F696E" w14:textId="77777777" w:rsidR="006A573D" w:rsidRDefault="006A573D"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C2E3" w14:textId="77777777" w:rsidR="007F577E" w:rsidRDefault="007F5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6755" w14:textId="77777777" w:rsidR="007F577E" w:rsidRDefault="007F5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11DB" w14:textId="77777777" w:rsidR="007F577E" w:rsidRDefault="007F5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2BF27" w14:textId="77777777" w:rsidR="006A573D" w:rsidRDefault="006A573D" w:rsidP="00E5175D">
      <w:r>
        <w:separator/>
      </w:r>
    </w:p>
  </w:footnote>
  <w:footnote w:type="continuationSeparator" w:id="0">
    <w:p w14:paraId="5305D33E" w14:textId="77777777" w:rsidR="006A573D" w:rsidRDefault="006A573D"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1680" w14:textId="77777777" w:rsidR="007F577E" w:rsidRDefault="007F5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07F38" w14:textId="77777777" w:rsidR="00A50101" w:rsidRPr="007F577E" w:rsidRDefault="00A50101" w:rsidP="00D427A4">
    <w:pPr>
      <w:tabs>
        <w:tab w:val="left" w:pos="7426"/>
      </w:tabs>
      <w:contextualSpacing/>
      <w:mirrorIndents/>
      <w:jc w:val="both"/>
      <w:rPr>
        <w:sz w:val="20"/>
        <w:szCs w:val="20"/>
      </w:rPr>
    </w:pPr>
    <w:r w:rsidRPr="007F577E">
      <w:rPr>
        <w:noProof/>
        <w:sz w:val="20"/>
        <w:szCs w:val="20"/>
      </w:rPr>
      <w:drawing>
        <wp:anchor distT="0" distB="0" distL="114300" distR="114300" simplePos="0" relativeHeight="251659264" behindDoc="0" locked="0" layoutInCell="1" allowOverlap="1" wp14:anchorId="26A6B7E5" wp14:editId="64E99E3C">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778D85AB" w14:textId="77777777" w:rsidR="00A50101" w:rsidRPr="00D427A4" w:rsidRDefault="00A50101" w:rsidP="00D427A4">
    <w:pPr>
      <w:tabs>
        <w:tab w:val="left" w:pos="7426"/>
      </w:tabs>
      <w:contextualSpacing/>
      <w:mirrorIndents/>
      <w:jc w:val="both"/>
      <w:rPr>
        <w:sz w:val="22"/>
        <w:szCs w:val="22"/>
      </w:rPr>
    </w:pPr>
    <w:r w:rsidRPr="00D427A4">
      <w:rPr>
        <w:sz w:val="22"/>
        <w:szCs w:val="22"/>
      </w:rPr>
      <w:t>Columbus Publishers</w:t>
    </w:r>
  </w:p>
  <w:p w14:paraId="0B4DFAEB" w14:textId="77777777" w:rsidR="00A50101" w:rsidRPr="00D427A4" w:rsidRDefault="00A50101" w:rsidP="00D427A4">
    <w:pPr>
      <w:contextualSpacing/>
      <w:mirrorIndents/>
      <w:jc w:val="both"/>
      <w:rPr>
        <w:sz w:val="22"/>
        <w:szCs w:val="22"/>
      </w:rPr>
    </w:pPr>
    <w:r w:rsidRPr="00D427A4">
      <w:rPr>
        <w:sz w:val="22"/>
        <w:szCs w:val="22"/>
      </w:rPr>
      <w:t>International Journal of Community Medicine &amp; Public Health</w:t>
    </w:r>
  </w:p>
  <w:p w14:paraId="499FBE58" w14:textId="4A258B83" w:rsidR="00A50101" w:rsidRPr="00D427A4" w:rsidRDefault="00667CE3" w:rsidP="00D427A4">
    <w:pPr>
      <w:contextualSpacing/>
      <w:mirrorIndents/>
      <w:jc w:val="both"/>
      <w:rPr>
        <w:sz w:val="22"/>
        <w:szCs w:val="22"/>
      </w:rPr>
    </w:pPr>
    <w:r w:rsidRPr="00D427A4">
      <w:rPr>
        <w:sz w:val="22"/>
        <w:szCs w:val="22"/>
      </w:rPr>
      <w:t>Volume 01: Issue 03</w:t>
    </w:r>
  </w:p>
  <w:p w14:paraId="2FED85E2" w14:textId="43D0AF52" w:rsidR="00953CE2" w:rsidRPr="007F577E" w:rsidRDefault="007F577E" w:rsidP="00D427A4">
    <w:pPr>
      <w:contextualSpacing/>
      <w:mirrorIndents/>
      <w:jc w:val="both"/>
      <w:rPr>
        <w:sz w:val="20"/>
        <w:szCs w:val="20"/>
      </w:rPr>
    </w:pPr>
    <w:proofErr w:type="spellStart"/>
    <w:r w:rsidRPr="00D427A4">
      <w:rPr>
        <w:sz w:val="22"/>
        <w:szCs w:val="22"/>
      </w:rPr>
      <w:t>Duwel</w:t>
    </w:r>
    <w:proofErr w:type="spellEnd"/>
    <w:r w:rsidRPr="00D427A4">
      <w:rPr>
        <w:sz w:val="22"/>
        <w:szCs w:val="22"/>
      </w:rPr>
      <w:t xml:space="preserve"> V, </w:t>
    </w:r>
    <w:r w:rsidR="00A50101" w:rsidRPr="00D427A4">
      <w:rPr>
        <w:sz w:val="22"/>
        <w:szCs w:val="22"/>
      </w:rPr>
      <w:t>et al.</w:t>
    </w:r>
    <w:r w:rsidR="00A50101" w:rsidRPr="007F577E">
      <w:rPr>
        <w:sz w:val="20"/>
        <w:szCs w:val="20"/>
      </w:rPr>
      <w:t xml:space="preserve"> </w:t>
    </w:r>
  </w:p>
  <w:p w14:paraId="45C3C608" w14:textId="77777777" w:rsidR="00A50101" w:rsidRPr="007F577E" w:rsidRDefault="00A50101" w:rsidP="00D427A4">
    <w:pPr>
      <w:contextualSpacing/>
      <w:mirrorIndents/>
      <w:jc w:val="both"/>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A03D" w14:textId="77777777" w:rsidR="007F577E" w:rsidRDefault="007F5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3FF9"/>
    <w:multiLevelType w:val="hybridMultilevel"/>
    <w:tmpl w:val="3E1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04E8"/>
    <w:multiLevelType w:val="hybridMultilevel"/>
    <w:tmpl w:val="C57A610A"/>
    <w:lvl w:ilvl="0" w:tplc="ED6AB030">
      <w:start w:val="1"/>
      <w:numFmt w:val="decimal"/>
      <w:lvlText w:val="%1."/>
      <w:lvlJc w:val="left"/>
      <w:pPr>
        <w:ind w:left="630" w:hanging="360"/>
      </w:pPr>
      <w:rPr>
        <w:rFonts w:ascii="Corbel" w:hAnsi="Corbel" w:cs="Corbe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22179"/>
    <w:multiLevelType w:val="hybridMultilevel"/>
    <w:tmpl w:val="3C248554"/>
    <w:lvl w:ilvl="0" w:tplc="A748174C">
      <w:start w:val="1"/>
      <w:numFmt w:val="decimal"/>
      <w:lvlText w:val="%1."/>
      <w:lvlJc w:val="left"/>
      <w:pPr>
        <w:ind w:left="720" w:hanging="360"/>
      </w:pPr>
      <w:rPr>
        <w:rFonts w:hint="default"/>
      </w:rPr>
    </w:lvl>
    <w:lvl w:ilvl="1" w:tplc="1472DB0E" w:tentative="1">
      <w:start w:val="1"/>
      <w:numFmt w:val="lowerLetter"/>
      <w:lvlText w:val="%2."/>
      <w:lvlJc w:val="left"/>
      <w:pPr>
        <w:ind w:left="1440" w:hanging="360"/>
      </w:pPr>
    </w:lvl>
    <w:lvl w:ilvl="2" w:tplc="24CE75B0" w:tentative="1">
      <w:start w:val="1"/>
      <w:numFmt w:val="lowerRoman"/>
      <w:lvlText w:val="%3."/>
      <w:lvlJc w:val="right"/>
      <w:pPr>
        <w:ind w:left="2160" w:hanging="180"/>
      </w:pPr>
    </w:lvl>
    <w:lvl w:ilvl="3" w:tplc="7FBE381E" w:tentative="1">
      <w:start w:val="1"/>
      <w:numFmt w:val="decimal"/>
      <w:lvlText w:val="%4."/>
      <w:lvlJc w:val="left"/>
      <w:pPr>
        <w:ind w:left="2880" w:hanging="360"/>
      </w:pPr>
    </w:lvl>
    <w:lvl w:ilvl="4" w:tplc="2C02CF1A" w:tentative="1">
      <w:start w:val="1"/>
      <w:numFmt w:val="lowerLetter"/>
      <w:lvlText w:val="%5."/>
      <w:lvlJc w:val="left"/>
      <w:pPr>
        <w:ind w:left="3600" w:hanging="360"/>
      </w:pPr>
    </w:lvl>
    <w:lvl w:ilvl="5" w:tplc="97EE10BA" w:tentative="1">
      <w:start w:val="1"/>
      <w:numFmt w:val="lowerRoman"/>
      <w:lvlText w:val="%6."/>
      <w:lvlJc w:val="right"/>
      <w:pPr>
        <w:ind w:left="4320" w:hanging="180"/>
      </w:pPr>
    </w:lvl>
    <w:lvl w:ilvl="6" w:tplc="22E4ED9C" w:tentative="1">
      <w:start w:val="1"/>
      <w:numFmt w:val="decimal"/>
      <w:lvlText w:val="%7."/>
      <w:lvlJc w:val="left"/>
      <w:pPr>
        <w:ind w:left="5040" w:hanging="360"/>
      </w:pPr>
    </w:lvl>
    <w:lvl w:ilvl="7" w:tplc="32123156" w:tentative="1">
      <w:start w:val="1"/>
      <w:numFmt w:val="lowerLetter"/>
      <w:lvlText w:val="%8."/>
      <w:lvlJc w:val="left"/>
      <w:pPr>
        <w:ind w:left="5760" w:hanging="360"/>
      </w:pPr>
    </w:lvl>
    <w:lvl w:ilvl="8" w:tplc="18028C24" w:tentative="1">
      <w:start w:val="1"/>
      <w:numFmt w:val="lowerRoman"/>
      <w:lvlText w:val="%9."/>
      <w:lvlJc w:val="right"/>
      <w:pPr>
        <w:ind w:left="6480" w:hanging="180"/>
      </w:pPr>
    </w:lvl>
  </w:abstractNum>
  <w:abstractNum w:abstractNumId="3" w15:restartNumberingAfterBreak="0">
    <w:nsid w:val="235B17BE"/>
    <w:multiLevelType w:val="hybridMultilevel"/>
    <w:tmpl w:val="4DD65F4A"/>
    <w:lvl w:ilvl="0" w:tplc="DA6CF382">
      <w:start w:val="1"/>
      <w:numFmt w:val="decimal"/>
      <w:lvlText w:val="%1."/>
      <w:lvlJc w:val="left"/>
      <w:pPr>
        <w:ind w:left="1350" w:hanging="360"/>
      </w:pPr>
      <w:rPr>
        <w:rFonts w:ascii="Arial Narrow" w:hAnsi="Arial Narrow"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CF157F1"/>
    <w:multiLevelType w:val="hybridMultilevel"/>
    <w:tmpl w:val="04B85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73BF3"/>
    <w:multiLevelType w:val="hybridMultilevel"/>
    <w:tmpl w:val="976A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15B29"/>
    <w:multiLevelType w:val="hybridMultilevel"/>
    <w:tmpl w:val="9A82F948"/>
    <w:lvl w:ilvl="0" w:tplc="E6E6ABE0">
      <w:start w:val="1"/>
      <w:numFmt w:val="upperLetter"/>
      <w:lvlText w:val="%1."/>
      <w:lvlJc w:val="left"/>
      <w:pPr>
        <w:ind w:left="720" w:hanging="360"/>
      </w:pPr>
      <w:rPr>
        <w:rFonts w:hint="default"/>
      </w:rPr>
    </w:lvl>
    <w:lvl w:ilvl="1" w:tplc="1F9C0096" w:tentative="1">
      <w:start w:val="1"/>
      <w:numFmt w:val="lowerLetter"/>
      <w:lvlText w:val="%2."/>
      <w:lvlJc w:val="left"/>
      <w:pPr>
        <w:ind w:left="1440" w:hanging="360"/>
      </w:pPr>
    </w:lvl>
    <w:lvl w:ilvl="2" w:tplc="B35A0138" w:tentative="1">
      <w:start w:val="1"/>
      <w:numFmt w:val="lowerRoman"/>
      <w:lvlText w:val="%3."/>
      <w:lvlJc w:val="right"/>
      <w:pPr>
        <w:ind w:left="2160" w:hanging="180"/>
      </w:pPr>
    </w:lvl>
    <w:lvl w:ilvl="3" w:tplc="429CCE72" w:tentative="1">
      <w:start w:val="1"/>
      <w:numFmt w:val="decimal"/>
      <w:lvlText w:val="%4."/>
      <w:lvlJc w:val="left"/>
      <w:pPr>
        <w:ind w:left="2880" w:hanging="360"/>
      </w:pPr>
    </w:lvl>
    <w:lvl w:ilvl="4" w:tplc="8ECC9CEA" w:tentative="1">
      <w:start w:val="1"/>
      <w:numFmt w:val="lowerLetter"/>
      <w:lvlText w:val="%5."/>
      <w:lvlJc w:val="left"/>
      <w:pPr>
        <w:ind w:left="3600" w:hanging="360"/>
      </w:pPr>
    </w:lvl>
    <w:lvl w:ilvl="5" w:tplc="4314CD9C" w:tentative="1">
      <w:start w:val="1"/>
      <w:numFmt w:val="lowerRoman"/>
      <w:lvlText w:val="%6."/>
      <w:lvlJc w:val="right"/>
      <w:pPr>
        <w:ind w:left="4320" w:hanging="180"/>
      </w:pPr>
    </w:lvl>
    <w:lvl w:ilvl="6" w:tplc="51860256" w:tentative="1">
      <w:start w:val="1"/>
      <w:numFmt w:val="decimal"/>
      <w:lvlText w:val="%7."/>
      <w:lvlJc w:val="left"/>
      <w:pPr>
        <w:ind w:left="5040" w:hanging="360"/>
      </w:pPr>
    </w:lvl>
    <w:lvl w:ilvl="7" w:tplc="09BE2172" w:tentative="1">
      <w:start w:val="1"/>
      <w:numFmt w:val="lowerLetter"/>
      <w:lvlText w:val="%8."/>
      <w:lvlJc w:val="left"/>
      <w:pPr>
        <w:ind w:left="5760" w:hanging="360"/>
      </w:pPr>
    </w:lvl>
    <w:lvl w:ilvl="8" w:tplc="944CD6DA" w:tentative="1">
      <w:start w:val="1"/>
      <w:numFmt w:val="lowerRoman"/>
      <w:lvlText w:val="%9."/>
      <w:lvlJc w:val="right"/>
      <w:pPr>
        <w:ind w:left="6480" w:hanging="180"/>
      </w:pPr>
    </w:lvl>
  </w:abstractNum>
  <w:abstractNum w:abstractNumId="7" w15:restartNumberingAfterBreak="0">
    <w:nsid w:val="558351EE"/>
    <w:multiLevelType w:val="hybridMultilevel"/>
    <w:tmpl w:val="C45A53B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56BD537C"/>
    <w:multiLevelType w:val="hybridMultilevel"/>
    <w:tmpl w:val="5AD885D4"/>
    <w:lvl w:ilvl="0" w:tplc="7938CFD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3A0D6C"/>
    <w:multiLevelType w:val="hybridMultilevel"/>
    <w:tmpl w:val="4010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D1133"/>
    <w:multiLevelType w:val="hybridMultilevel"/>
    <w:tmpl w:val="84E49BCC"/>
    <w:lvl w:ilvl="0" w:tplc="6B948D54">
      <w:start w:val="1"/>
      <w:numFmt w:val="upperLetter"/>
      <w:lvlText w:val="%1."/>
      <w:lvlJc w:val="left"/>
      <w:pPr>
        <w:ind w:left="720" w:hanging="360"/>
      </w:pPr>
      <w:rPr>
        <w:rFonts w:ascii="Times New Roman" w:eastAsia="Arial" w:hAnsi="Times New Roman" w:cs="Times New Roman"/>
      </w:rPr>
    </w:lvl>
    <w:lvl w:ilvl="1" w:tplc="3AAC44E6" w:tentative="1">
      <w:start w:val="1"/>
      <w:numFmt w:val="lowerLetter"/>
      <w:lvlText w:val="%2."/>
      <w:lvlJc w:val="left"/>
      <w:pPr>
        <w:ind w:left="1440" w:hanging="360"/>
      </w:pPr>
    </w:lvl>
    <w:lvl w:ilvl="2" w:tplc="8A740CC2" w:tentative="1">
      <w:start w:val="1"/>
      <w:numFmt w:val="lowerRoman"/>
      <w:lvlText w:val="%3."/>
      <w:lvlJc w:val="right"/>
      <w:pPr>
        <w:ind w:left="2160" w:hanging="180"/>
      </w:pPr>
    </w:lvl>
    <w:lvl w:ilvl="3" w:tplc="DCE27D86" w:tentative="1">
      <w:start w:val="1"/>
      <w:numFmt w:val="decimal"/>
      <w:lvlText w:val="%4."/>
      <w:lvlJc w:val="left"/>
      <w:pPr>
        <w:ind w:left="2880" w:hanging="360"/>
      </w:pPr>
    </w:lvl>
    <w:lvl w:ilvl="4" w:tplc="20C0BFFA" w:tentative="1">
      <w:start w:val="1"/>
      <w:numFmt w:val="lowerLetter"/>
      <w:lvlText w:val="%5."/>
      <w:lvlJc w:val="left"/>
      <w:pPr>
        <w:ind w:left="3600" w:hanging="360"/>
      </w:pPr>
    </w:lvl>
    <w:lvl w:ilvl="5" w:tplc="65A60552" w:tentative="1">
      <w:start w:val="1"/>
      <w:numFmt w:val="lowerRoman"/>
      <w:lvlText w:val="%6."/>
      <w:lvlJc w:val="right"/>
      <w:pPr>
        <w:ind w:left="4320" w:hanging="180"/>
      </w:pPr>
    </w:lvl>
    <w:lvl w:ilvl="6" w:tplc="5A5CEBF8" w:tentative="1">
      <w:start w:val="1"/>
      <w:numFmt w:val="decimal"/>
      <w:lvlText w:val="%7."/>
      <w:lvlJc w:val="left"/>
      <w:pPr>
        <w:ind w:left="5040" w:hanging="360"/>
      </w:pPr>
    </w:lvl>
    <w:lvl w:ilvl="7" w:tplc="29F63264" w:tentative="1">
      <w:start w:val="1"/>
      <w:numFmt w:val="lowerLetter"/>
      <w:lvlText w:val="%8."/>
      <w:lvlJc w:val="left"/>
      <w:pPr>
        <w:ind w:left="5760" w:hanging="360"/>
      </w:pPr>
    </w:lvl>
    <w:lvl w:ilvl="8" w:tplc="6E4A9DA4" w:tentative="1">
      <w:start w:val="1"/>
      <w:numFmt w:val="lowerRoman"/>
      <w:lvlText w:val="%9."/>
      <w:lvlJc w:val="right"/>
      <w:pPr>
        <w:ind w:left="6480" w:hanging="180"/>
      </w:pPr>
    </w:lvl>
  </w:abstractNum>
  <w:abstractNum w:abstractNumId="11" w15:restartNumberingAfterBreak="0">
    <w:nsid w:val="69A362C5"/>
    <w:multiLevelType w:val="hybridMultilevel"/>
    <w:tmpl w:val="36665B86"/>
    <w:lvl w:ilvl="0" w:tplc="532C32D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1"/>
  </w:num>
  <w:num w:numId="5">
    <w:abstractNumId w:val="5"/>
  </w:num>
  <w:num w:numId="6">
    <w:abstractNumId w:val="7"/>
  </w:num>
  <w:num w:numId="7">
    <w:abstractNumId w:val="1"/>
  </w:num>
  <w:num w:numId="8">
    <w:abstractNumId w:val="10"/>
  </w:num>
  <w:num w:numId="9">
    <w:abstractNumId w:val="6"/>
  </w:num>
  <w:num w:numId="10">
    <w:abstractNumId w:val="2"/>
  </w:num>
  <w:num w:numId="11">
    <w:abstractNumId w:val="4"/>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AC9"/>
    <w:rsid w:val="000131D4"/>
    <w:rsid w:val="00016C93"/>
    <w:rsid w:val="00031189"/>
    <w:rsid w:val="00035645"/>
    <w:rsid w:val="000548F4"/>
    <w:rsid w:val="0006253B"/>
    <w:rsid w:val="0006626F"/>
    <w:rsid w:val="00067F7F"/>
    <w:rsid w:val="00072553"/>
    <w:rsid w:val="00076FCC"/>
    <w:rsid w:val="00077BF9"/>
    <w:rsid w:val="000803B8"/>
    <w:rsid w:val="00091EC2"/>
    <w:rsid w:val="0009295F"/>
    <w:rsid w:val="00092E0E"/>
    <w:rsid w:val="000930CD"/>
    <w:rsid w:val="000937F2"/>
    <w:rsid w:val="00093E90"/>
    <w:rsid w:val="00096424"/>
    <w:rsid w:val="000A1B53"/>
    <w:rsid w:val="000A4A96"/>
    <w:rsid w:val="000A5C36"/>
    <w:rsid w:val="000B5B92"/>
    <w:rsid w:val="000C217C"/>
    <w:rsid w:val="000C6FBE"/>
    <w:rsid w:val="000D17A8"/>
    <w:rsid w:val="000D7694"/>
    <w:rsid w:val="000E37EF"/>
    <w:rsid w:val="000E7F61"/>
    <w:rsid w:val="000F6231"/>
    <w:rsid w:val="000F7E61"/>
    <w:rsid w:val="00101E9C"/>
    <w:rsid w:val="00105183"/>
    <w:rsid w:val="00112279"/>
    <w:rsid w:val="001226A8"/>
    <w:rsid w:val="00122D54"/>
    <w:rsid w:val="00123EF8"/>
    <w:rsid w:val="00135D36"/>
    <w:rsid w:val="0014132D"/>
    <w:rsid w:val="001416FD"/>
    <w:rsid w:val="001439C1"/>
    <w:rsid w:val="001565C2"/>
    <w:rsid w:val="00156897"/>
    <w:rsid w:val="00160126"/>
    <w:rsid w:val="001678D9"/>
    <w:rsid w:val="0018078A"/>
    <w:rsid w:val="00181DBB"/>
    <w:rsid w:val="00182A84"/>
    <w:rsid w:val="00192E2B"/>
    <w:rsid w:val="00197E44"/>
    <w:rsid w:val="001A2FB5"/>
    <w:rsid w:val="001B3505"/>
    <w:rsid w:val="001C133C"/>
    <w:rsid w:val="001C2BAA"/>
    <w:rsid w:val="001C4901"/>
    <w:rsid w:val="001C739E"/>
    <w:rsid w:val="001D16F9"/>
    <w:rsid w:val="001D4F55"/>
    <w:rsid w:val="001E29E0"/>
    <w:rsid w:val="001E5747"/>
    <w:rsid w:val="001F0B89"/>
    <w:rsid w:val="001F46AC"/>
    <w:rsid w:val="001F59F0"/>
    <w:rsid w:val="0020507D"/>
    <w:rsid w:val="00205FF4"/>
    <w:rsid w:val="002067D2"/>
    <w:rsid w:val="002070EC"/>
    <w:rsid w:val="00210CAE"/>
    <w:rsid w:val="002147E4"/>
    <w:rsid w:val="0021644D"/>
    <w:rsid w:val="00217F48"/>
    <w:rsid w:val="0022114E"/>
    <w:rsid w:val="0022354E"/>
    <w:rsid w:val="00224BF3"/>
    <w:rsid w:val="00225F5D"/>
    <w:rsid w:val="00226EAF"/>
    <w:rsid w:val="00231405"/>
    <w:rsid w:val="00235CCC"/>
    <w:rsid w:val="002364EF"/>
    <w:rsid w:val="0024395E"/>
    <w:rsid w:val="0024611E"/>
    <w:rsid w:val="002537A8"/>
    <w:rsid w:val="00260ECD"/>
    <w:rsid w:val="00261B72"/>
    <w:rsid w:val="002641D7"/>
    <w:rsid w:val="00266C07"/>
    <w:rsid w:val="00267AC2"/>
    <w:rsid w:val="00271D36"/>
    <w:rsid w:val="00274EFF"/>
    <w:rsid w:val="00281EE7"/>
    <w:rsid w:val="002934CF"/>
    <w:rsid w:val="002C3D47"/>
    <w:rsid w:val="002C7CB3"/>
    <w:rsid w:val="002D05AC"/>
    <w:rsid w:val="002D76F8"/>
    <w:rsid w:val="002E2661"/>
    <w:rsid w:val="0030222B"/>
    <w:rsid w:val="00304858"/>
    <w:rsid w:val="00305081"/>
    <w:rsid w:val="00305490"/>
    <w:rsid w:val="00307E50"/>
    <w:rsid w:val="00311370"/>
    <w:rsid w:val="00314CC5"/>
    <w:rsid w:val="00315384"/>
    <w:rsid w:val="00315D9E"/>
    <w:rsid w:val="00326288"/>
    <w:rsid w:val="00327B72"/>
    <w:rsid w:val="00336AE9"/>
    <w:rsid w:val="003441AF"/>
    <w:rsid w:val="00355121"/>
    <w:rsid w:val="00363411"/>
    <w:rsid w:val="003647BD"/>
    <w:rsid w:val="0038412E"/>
    <w:rsid w:val="0038687C"/>
    <w:rsid w:val="0039201B"/>
    <w:rsid w:val="00393F50"/>
    <w:rsid w:val="00396325"/>
    <w:rsid w:val="003B44FD"/>
    <w:rsid w:val="003C07D4"/>
    <w:rsid w:val="003D2D9C"/>
    <w:rsid w:val="003D48CD"/>
    <w:rsid w:val="003D4BC3"/>
    <w:rsid w:val="003E6BAA"/>
    <w:rsid w:val="003E79B3"/>
    <w:rsid w:val="003F37DF"/>
    <w:rsid w:val="004011E3"/>
    <w:rsid w:val="0041242B"/>
    <w:rsid w:val="00413200"/>
    <w:rsid w:val="00436E5E"/>
    <w:rsid w:val="004451E9"/>
    <w:rsid w:val="00471B47"/>
    <w:rsid w:val="004731D8"/>
    <w:rsid w:val="00473B2E"/>
    <w:rsid w:val="00487D7B"/>
    <w:rsid w:val="004909D7"/>
    <w:rsid w:val="004948E4"/>
    <w:rsid w:val="0049544E"/>
    <w:rsid w:val="004A2C14"/>
    <w:rsid w:val="004A7AE3"/>
    <w:rsid w:val="004B0E1D"/>
    <w:rsid w:val="004C188E"/>
    <w:rsid w:val="004C57D8"/>
    <w:rsid w:val="004C6506"/>
    <w:rsid w:val="004C7556"/>
    <w:rsid w:val="004F735A"/>
    <w:rsid w:val="004F7D4A"/>
    <w:rsid w:val="0050545F"/>
    <w:rsid w:val="00510E10"/>
    <w:rsid w:val="00514A00"/>
    <w:rsid w:val="00516308"/>
    <w:rsid w:val="00532A39"/>
    <w:rsid w:val="00533E93"/>
    <w:rsid w:val="00537E5B"/>
    <w:rsid w:val="005458E8"/>
    <w:rsid w:val="00551200"/>
    <w:rsid w:val="00556B23"/>
    <w:rsid w:val="00557B51"/>
    <w:rsid w:val="005706C8"/>
    <w:rsid w:val="005730BD"/>
    <w:rsid w:val="0057749C"/>
    <w:rsid w:val="00585CE2"/>
    <w:rsid w:val="00585DBE"/>
    <w:rsid w:val="00586F9D"/>
    <w:rsid w:val="00593882"/>
    <w:rsid w:val="00593AE9"/>
    <w:rsid w:val="00597B87"/>
    <w:rsid w:val="005A3414"/>
    <w:rsid w:val="005A5378"/>
    <w:rsid w:val="005A79C7"/>
    <w:rsid w:val="005B2109"/>
    <w:rsid w:val="005B3A43"/>
    <w:rsid w:val="005B3FC2"/>
    <w:rsid w:val="005D26B3"/>
    <w:rsid w:val="005D665B"/>
    <w:rsid w:val="005E14EC"/>
    <w:rsid w:val="005E355D"/>
    <w:rsid w:val="005F0F0E"/>
    <w:rsid w:val="00601FBA"/>
    <w:rsid w:val="00606D7A"/>
    <w:rsid w:val="00611570"/>
    <w:rsid w:val="006135B9"/>
    <w:rsid w:val="006250B8"/>
    <w:rsid w:val="006253E9"/>
    <w:rsid w:val="00627ABD"/>
    <w:rsid w:val="00645965"/>
    <w:rsid w:val="00645C52"/>
    <w:rsid w:val="00650561"/>
    <w:rsid w:val="00652068"/>
    <w:rsid w:val="0065442D"/>
    <w:rsid w:val="00657DD5"/>
    <w:rsid w:val="00662CEF"/>
    <w:rsid w:val="00663286"/>
    <w:rsid w:val="006641C8"/>
    <w:rsid w:val="00667085"/>
    <w:rsid w:val="00667CE3"/>
    <w:rsid w:val="00671676"/>
    <w:rsid w:val="006724EC"/>
    <w:rsid w:val="00687549"/>
    <w:rsid w:val="006934FB"/>
    <w:rsid w:val="006A573D"/>
    <w:rsid w:val="006B2243"/>
    <w:rsid w:val="006C2655"/>
    <w:rsid w:val="006D67B7"/>
    <w:rsid w:val="006D7833"/>
    <w:rsid w:val="006E70A8"/>
    <w:rsid w:val="006E73E6"/>
    <w:rsid w:val="006F2EC4"/>
    <w:rsid w:val="006F5ECB"/>
    <w:rsid w:val="00707A3E"/>
    <w:rsid w:val="00707FAB"/>
    <w:rsid w:val="00710507"/>
    <w:rsid w:val="0071304D"/>
    <w:rsid w:val="007143AF"/>
    <w:rsid w:val="007150B9"/>
    <w:rsid w:val="007226E4"/>
    <w:rsid w:val="0073404C"/>
    <w:rsid w:val="007355C2"/>
    <w:rsid w:val="00737430"/>
    <w:rsid w:val="007474B3"/>
    <w:rsid w:val="00752FED"/>
    <w:rsid w:val="007560EF"/>
    <w:rsid w:val="00761C1D"/>
    <w:rsid w:val="007622E2"/>
    <w:rsid w:val="00772165"/>
    <w:rsid w:val="0077781D"/>
    <w:rsid w:val="00781015"/>
    <w:rsid w:val="00781406"/>
    <w:rsid w:val="00797C31"/>
    <w:rsid w:val="007A1DC9"/>
    <w:rsid w:val="007A5BA0"/>
    <w:rsid w:val="007B0213"/>
    <w:rsid w:val="007B4ECE"/>
    <w:rsid w:val="007B60D4"/>
    <w:rsid w:val="007C5532"/>
    <w:rsid w:val="007C7F6B"/>
    <w:rsid w:val="007D217C"/>
    <w:rsid w:val="007E26C0"/>
    <w:rsid w:val="007E6F2D"/>
    <w:rsid w:val="007F35BF"/>
    <w:rsid w:val="007F577E"/>
    <w:rsid w:val="00800051"/>
    <w:rsid w:val="0080197A"/>
    <w:rsid w:val="008039C8"/>
    <w:rsid w:val="00803F27"/>
    <w:rsid w:val="00811B6C"/>
    <w:rsid w:val="008143D7"/>
    <w:rsid w:val="00814630"/>
    <w:rsid w:val="00814E71"/>
    <w:rsid w:val="0082040B"/>
    <w:rsid w:val="0082481F"/>
    <w:rsid w:val="00831229"/>
    <w:rsid w:val="0083492A"/>
    <w:rsid w:val="00835B63"/>
    <w:rsid w:val="00836BDE"/>
    <w:rsid w:val="00840444"/>
    <w:rsid w:val="00843025"/>
    <w:rsid w:val="00846383"/>
    <w:rsid w:val="008622FD"/>
    <w:rsid w:val="00874293"/>
    <w:rsid w:val="00880ACC"/>
    <w:rsid w:val="008836BA"/>
    <w:rsid w:val="008836D5"/>
    <w:rsid w:val="008865B4"/>
    <w:rsid w:val="00891A99"/>
    <w:rsid w:val="008920DD"/>
    <w:rsid w:val="008A4308"/>
    <w:rsid w:val="008B4239"/>
    <w:rsid w:val="008C076A"/>
    <w:rsid w:val="008C2E88"/>
    <w:rsid w:val="008E0492"/>
    <w:rsid w:val="008E1B22"/>
    <w:rsid w:val="008E2D1E"/>
    <w:rsid w:val="008F3F45"/>
    <w:rsid w:val="008F4871"/>
    <w:rsid w:val="008F665C"/>
    <w:rsid w:val="00902330"/>
    <w:rsid w:val="009054D3"/>
    <w:rsid w:val="00906A87"/>
    <w:rsid w:val="00906B9D"/>
    <w:rsid w:val="0091003B"/>
    <w:rsid w:val="00910D52"/>
    <w:rsid w:val="00931AD1"/>
    <w:rsid w:val="0094013E"/>
    <w:rsid w:val="00943583"/>
    <w:rsid w:val="00944C9F"/>
    <w:rsid w:val="009462F1"/>
    <w:rsid w:val="009501FC"/>
    <w:rsid w:val="009524A2"/>
    <w:rsid w:val="00953005"/>
    <w:rsid w:val="0095629F"/>
    <w:rsid w:val="009600D4"/>
    <w:rsid w:val="00966321"/>
    <w:rsid w:val="00970816"/>
    <w:rsid w:val="00973262"/>
    <w:rsid w:val="00986631"/>
    <w:rsid w:val="00991164"/>
    <w:rsid w:val="009A1D22"/>
    <w:rsid w:val="009A22D1"/>
    <w:rsid w:val="009A259D"/>
    <w:rsid w:val="009B4070"/>
    <w:rsid w:val="009C5721"/>
    <w:rsid w:val="009E6EA7"/>
    <w:rsid w:val="009F1EEB"/>
    <w:rsid w:val="00A054B5"/>
    <w:rsid w:val="00A11BE4"/>
    <w:rsid w:val="00A120A9"/>
    <w:rsid w:val="00A13C31"/>
    <w:rsid w:val="00A24E9A"/>
    <w:rsid w:val="00A3727D"/>
    <w:rsid w:val="00A45120"/>
    <w:rsid w:val="00A45F47"/>
    <w:rsid w:val="00A46A04"/>
    <w:rsid w:val="00A50101"/>
    <w:rsid w:val="00A503ED"/>
    <w:rsid w:val="00A520CA"/>
    <w:rsid w:val="00A63FD0"/>
    <w:rsid w:val="00A82DA7"/>
    <w:rsid w:val="00A86790"/>
    <w:rsid w:val="00A8784D"/>
    <w:rsid w:val="00AA6EA9"/>
    <w:rsid w:val="00AD13F3"/>
    <w:rsid w:val="00AD4047"/>
    <w:rsid w:val="00AE6B41"/>
    <w:rsid w:val="00B070C2"/>
    <w:rsid w:val="00B12C74"/>
    <w:rsid w:val="00B149E0"/>
    <w:rsid w:val="00B15CEF"/>
    <w:rsid w:val="00B20B02"/>
    <w:rsid w:val="00B229C8"/>
    <w:rsid w:val="00B31065"/>
    <w:rsid w:val="00B354B0"/>
    <w:rsid w:val="00B450A4"/>
    <w:rsid w:val="00B56F6B"/>
    <w:rsid w:val="00B63B59"/>
    <w:rsid w:val="00B660BA"/>
    <w:rsid w:val="00B812DD"/>
    <w:rsid w:val="00B841CE"/>
    <w:rsid w:val="00B84B13"/>
    <w:rsid w:val="00B86591"/>
    <w:rsid w:val="00B8717E"/>
    <w:rsid w:val="00B87DEE"/>
    <w:rsid w:val="00B911BE"/>
    <w:rsid w:val="00BA012C"/>
    <w:rsid w:val="00BA5BE7"/>
    <w:rsid w:val="00BB4B2C"/>
    <w:rsid w:val="00BC3D0E"/>
    <w:rsid w:val="00BD0685"/>
    <w:rsid w:val="00BD52E3"/>
    <w:rsid w:val="00BD668C"/>
    <w:rsid w:val="00BF126B"/>
    <w:rsid w:val="00C02B05"/>
    <w:rsid w:val="00C07AD7"/>
    <w:rsid w:val="00C135E0"/>
    <w:rsid w:val="00C137FB"/>
    <w:rsid w:val="00C176F7"/>
    <w:rsid w:val="00C23395"/>
    <w:rsid w:val="00C2525D"/>
    <w:rsid w:val="00C2556C"/>
    <w:rsid w:val="00C305C8"/>
    <w:rsid w:val="00C35C27"/>
    <w:rsid w:val="00C363A1"/>
    <w:rsid w:val="00C4290C"/>
    <w:rsid w:val="00C47206"/>
    <w:rsid w:val="00C47996"/>
    <w:rsid w:val="00C50309"/>
    <w:rsid w:val="00C5219D"/>
    <w:rsid w:val="00C574FE"/>
    <w:rsid w:val="00C60F04"/>
    <w:rsid w:val="00C626CA"/>
    <w:rsid w:val="00C63EE0"/>
    <w:rsid w:val="00C75921"/>
    <w:rsid w:val="00C91A9C"/>
    <w:rsid w:val="00C9568E"/>
    <w:rsid w:val="00CA3F7E"/>
    <w:rsid w:val="00CB2A4E"/>
    <w:rsid w:val="00CB4E6C"/>
    <w:rsid w:val="00CB50B1"/>
    <w:rsid w:val="00CB68E5"/>
    <w:rsid w:val="00CC497B"/>
    <w:rsid w:val="00CC4CB5"/>
    <w:rsid w:val="00CD3529"/>
    <w:rsid w:val="00CD6AE5"/>
    <w:rsid w:val="00CD6C57"/>
    <w:rsid w:val="00CE530D"/>
    <w:rsid w:val="00D07D1C"/>
    <w:rsid w:val="00D23425"/>
    <w:rsid w:val="00D4158F"/>
    <w:rsid w:val="00D42548"/>
    <w:rsid w:val="00D427A4"/>
    <w:rsid w:val="00D44BA0"/>
    <w:rsid w:val="00D5289D"/>
    <w:rsid w:val="00D52D52"/>
    <w:rsid w:val="00D600A6"/>
    <w:rsid w:val="00D71BFD"/>
    <w:rsid w:val="00D805B8"/>
    <w:rsid w:val="00D84784"/>
    <w:rsid w:val="00D94C3B"/>
    <w:rsid w:val="00D95F96"/>
    <w:rsid w:val="00D97DB9"/>
    <w:rsid w:val="00DB009F"/>
    <w:rsid w:val="00DB3AAD"/>
    <w:rsid w:val="00DB3C5E"/>
    <w:rsid w:val="00DB4CD1"/>
    <w:rsid w:val="00DB6EE9"/>
    <w:rsid w:val="00DE73A0"/>
    <w:rsid w:val="00DF18FD"/>
    <w:rsid w:val="00E03717"/>
    <w:rsid w:val="00E145F8"/>
    <w:rsid w:val="00E20738"/>
    <w:rsid w:val="00E26F02"/>
    <w:rsid w:val="00E32149"/>
    <w:rsid w:val="00E328F9"/>
    <w:rsid w:val="00E3325F"/>
    <w:rsid w:val="00E34578"/>
    <w:rsid w:val="00E349D0"/>
    <w:rsid w:val="00E41722"/>
    <w:rsid w:val="00E41BDD"/>
    <w:rsid w:val="00E4650B"/>
    <w:rsid w:val="00E467E3"/>
    <w:rsid w:val="00E50B81"/>
    <w:rsid w:val="00E514FF"/>
    <w:rsid w:val="00E5175D"/>
    <w:rsid w:val="00E53DF1"/>
    <w:rsid w:val="00E53F26"/>
    <w:rsid w:val="00E60F6F"/>
    <w:rsid w:val="00E61585"/>
    <w:rsid w:val="00E66941"/>
    <w:rsid w:val="00E6738D"/>
    <w:rsid w:val="00E73076"/>
    <w:rsid w:val="00E757EC"/>
    <w:rsid w:val="00E80A57"/>
    <w:rsid w:val="00E84171"/>
    <w:rsid w:val="00E85503"/>
    <w:rsid w:val="00E95346"/>
    <w:rsid w:val="00EA4668"/>
    <w:rsid w:val="00EB68B2"/>
    <w:rsid w:val="00EB7F1C"/>
    <w:rsid w:val="00EC4F16"/>
    <w:rsid w:val="00EE1E97"/>
    <w:rsid w:val="00EE771D"/>
    <w:rsid w:val="00EF0379"/>
    <w:rsid w:val="00F033F5"/>
    <w:rsid w:val="00F03CFF"/>
    <w:rsid w:val="00F11981"/>
    <w:rsid w:val="00F249FC"/>
    <w:rsid w:val="00F32F15"/>
    <w:rsid w:val="00F33922"/>
    <w:rsid w:val="00F43014"/>
    <w:rsid w:val="00F4789B"/>
    <w:rsid w:val="00F503F1"/>
    <w:rsid w:val="00F5182B"/>
    <w:rsid w:val="00F56B42"/>
    <w:rsid w:val="00F57304"/>
    <w:rsid w:val="00F6213D"/>
    <w:rsid w:val="00F71F88"/>
    <w:rsid w:val="00F76374"/>
    <w:rsid w:val="00F8498B"/>
    <w:rsid w:val="00FA3192"/>
    <w:rsid w:val="00FA48A3"/>
    <w:rsid w:val="00FB0C06"/>
    <w:rsid w:val="00FB1312"/>
    <w:rsid w:val="00FC1E08"/>
    <w:rsid w:val="00FE0503"/>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103C8"/>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A1D22"/>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uiPriority w:val="9"/>
    <w:unhideWhenUsed/>
    <w:qFormat/>
    <w:rsid w:val="00C305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05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unhideWhenUsed/>
    <w:qFormat/>
    <w:rsid w:val="007143AF"/>
    <w:pPr>
      <w:widowControl w:val="0"/>
      <w:autoSpaceDE w:val="0"/>
      <w:autoSpaceDN w:val="0"/>
      <w:ind w:left="359"/>
      <w:outlineLvl w:val="3"/>
    </w:pPr>
    <w:rPr>
      <w:rFonts w:ascii="Arial Narrow" w:eastAsia="Arial Narrow" w:hAnsi="Arial Narrow" w:cs="Arial Narrow"/>
      <w:b/>
      <w:bCs/>
      <w:sz w:val="19"/>
      <w:szCs w:val="19"/>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customStyle="1" w:styleId="Heading1Char">
    <w:name w:val="Heading 1 Char"/>
    <w:basedOn w:val="DefaultParagraphFont"/>
    <w:link w:val="Heading1"/>
    <w:uiPriority w:val="9"/>
    <w:rsid w:val="009A1D22"/>
    <w:rPr>
      <w:rFonts w:ascii="Times New Roman" w:eastAsia="Times New Roman" w:hAnsi="Times New Roman" w:cs="Times New Roman"/>
      <w:b/>
      <w:bCs/>
      <w:kern w:val="36"/>
      <w:sz w:val="48"/>
      <w:szCs w:val="48"/>
      <w:lang w:val="en-GB"/>
    </w:rPr>
  </w:style>
  <w:style w:type="paragraph" w:customStyle="1" w:styleId="EndNoteBibliography">
    <w:name w:val="EndNote Bibliography"/>
    <w:basedOn w:val="Normal"/>
    <w:link w:val="EndNoteBibliographyChar"/>
    <w:rsid w:val="009A1D22"/>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9A1D22"/>
    <w:rPr>
      <w:rFonts w:ascii="Calibri" w:hAnsi="Calibri"/>
      <w:noProof/>
    </w:rPr>
  </w:style>
  <w:style w:type="character" w:customStyle="1" w:styleId="Heading2Char">
    <w:name w:val="Heading 2 Char"/>
    <w:basedOn w:val="DefaultParagraphFont"/>
    <w:link w:val="Heading2"/>
    <w:rsid w:val="00C305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305C8"/>
    <w:rPr>
      <w:rFonts w:asciiTheme="majorHAnsi" w:eastAsiaTheme="majorEastAsia" w:hAnsiTheme="majorHAnsi" w:cstheme="majorBidi"/>
      <w:color w:val="243F60" w:themeColor="accent1" w:themeShade="7F"/>
      <w:sz w:val="24"/>
      <w:szCs w:val="24"/>
    </w:rPr>
  </w:style>
  <w:style w:type="character" w:customStyle="1" w:styleId="pagecontents1">
    <w:name w:val="pagecontents1"/>
    <w:rsid w:val="00C305C8"/>
    <w:rPr>
      <w:rFonts w:ascii="Verdana" w:hAnsi="Verdana" w:hint="default"/>
      <w:color w:val="000000"/>
      <w:sz w:val="22"/>
      <w:szCs w:val="22"/>
    </w:rPr>
  </w:style>
  <w:style w:type="paragraph" w:styleId="DocumentMap">
    <w:name w:val="Document Map"/>
    <w:basedOn w:val="Normal"/>
    <w:link w:val="DocumentMapChar"/>
    <w:semiHidden/>
    <w:rsid w:val="00C305C8"/>
    <w:pPr>
      <w:shd w:val="clear" w:color="auto" w:fill="000080"/>
    </w:pPr>
    <w:rPr>
      <w:rFonts w:ascii="Tahoma" w:eastAsia="MS Mincho" w:hAnsi="Tahoma" w:cs="Tahoma"/>
      <w:sz w:val="20"/>
      <w:szCs w:val="20"/>
      <w:lang w:val="en-AU" w:eastAsia="ja-JP"/>
    </w:rPr>
  </w:style>
  <w:style w:type="character" w:customStyle="1" w:styleId="DocumentMapChar">
    <w:name w:val="Document Map Char"/>
    <w:basedOn w:val="DefaultParagraphFont"/>
    <w:link w:val="DocumentMap"/>
    <w:semiHidden/>
    <w:rsid w:val="00C305C8"/>
    <w:rPr>
      <w:rFonts w:ascii="Tahoma" w:eastAsia="MS Mincho" w:hAnsi="Tahoma" w:cs="Tahoma"/>
      <w:sz w:val="20"/>
      <w:szCs w:val="20"/>
      <w:shd w:val="clear" w:color="auto" w:fill="000080"/>
      <w:lang w:val="en-AU" w:eastAsia="ja-JP"/>
    </w:rPr>
  </w:style>
  <w:style w:type="paragraph" w:styleId="CommentSubject">
    <w:name w:val="annotation subject"/>
    <w:basedOn w:val="CommentText"/>
    <w:next w:val="CommentText"/>
    <w:link w:val="CommentSubjectChar"/>
    <w:uiPriority w:val="99"/>
    <w:semiHidden/>
    <w:unhideWhenUsed/>
    <w:rsid w:val="00C305C8"/>
    <w:rPr>
      <w:rFonts w:eastAsia="MS Mincho"/>
      <w:b/>
      <w:bCs/>
      <w:lang w:val="en-AU" w:eastAsia="ja-JP"/>
    </w:rPr>
  </w:style>
  <w:style w:type="character" w:customStyle="1" w:styleId="CommentSubjectChar">
    <w:name w:val="Comment Subject Char"/>
    <w:basedOn w:val="CommentTextChar"/>
    <w:link w:val="CommentSubject"/>
    <w:uiPriority w:val="99"/>
    <w:semiHidden/>
    <w:rsid w:val="00C305C8"/>
    <w:rPr>
      <w:rFonts w:ascii="Times New Roman" w:eastAsia="MS Mincho" w:hAnsi="Times New Roman" w:cs="Times New Roman"/>
      <w:b/>
      <w:bCs/>
      <w:sz w:val="20"/>
      <w:szCs w:val="20"/>
      <w:lang w:val="en-AU" w:eastAsia="ja-JP"/>
    </w:rPr>
  </w:style>
  <w:style w:type="character" w:customStyle="1" w:styleId="UnresolvedMention1">
    <w:name w:val="Unresolved Mention1"/>
    <w:uiPriority w:val="99"/>
    <w:semiHidden/>
    <w:unhideWhenUsed/>
    <w:rsid w:val="00C305C8"/>
    <w:rPr>
      <w:color w:val="605E5C"/>
      <w:shd w:val="clear" w:color="auto" w:fill="E1DFDD"/>
    </w:rPr>
  </w:style>
  <w:style w:type="character" w:styleId="FollowedHyperlink">
    <w:name w:val="FollowedHyperlink"/>
    <w:uiPriority w:val="99"/>
    <w:semiHidden/>
    <w:unhideWhenUsed/>
    <w:rsid w:val="00C305C8"/>
    <w:rPr>
      <w:color w:val="954F72"/>
      <w:u w:val="single"/>
    </w:rPr>
  </w:style>
  <w:style w:type="character" w:customStyle="1" w:styleId="Heading4Char">
    <w:name w:val="Heading 4 Char"/>
    <w:basedOn w:val="DefaultParagraphFont"/>
    <w:link w:val="Heading4"/>
    <w:uiPriority w:val="9"/>
    <w:rsid w:val="007143AF"/>
    <w:rPr>
      <w:rFonts w:ascii="Arial Narrow" w:eastAsia="Arial Narrow" w:hAnsi="Arial Narrow" w:cs="Arial Narrow"/>
      <w:b/>
      <w:bCs/>
      <w:sz w:val="19"/>
      <w:szCs w:val="19"/>
      <w:lang w:bidi="en-US"/>
    </w:rPr>
  </w:style>
  <w:style w:type="character" w:styleId="PageNumber">
    <w:name w:val="page number"/>
    <w:basedOn w:val="DefaultParagraphFont"/>
    <w:uiPriority w:val="99"/>
    <w:semiHidden/>
    <w:unhideWhenUsed/>
    <w:rsid w:val="007143AF"/>
  </w:style>
  <w:style w:type="paragraph" w:styleId="BodyText">
    <w:name w:val="Body Text"/>
    <w:basedOn w:val="Normal"/>
    <w:link w:val="BodyTextChar"/>
    <w:uiPriority w:val="1"/>
    <w:qFormat/>
    <w:rsid w:val="007143AF"/>
    <w:pPr>
      <w:widowControl w:val="0"/>
      <w:autoSpaceDE w:val="0"/>
      <w:autoSpaceDN w:val="0"/>
      <w:spacing w:before="36"/>
    </w:pPr>
    <w:rPr>
      <w:rFonts w:ascii="Garamond" w:eastAsia="Garamond" w:hAnsi="Garamond" w:cs="Garamond"/>
      <w:sz w:val="21"/>
      <w:szCs w:val="21"/>
      <w:lang w:bidi="en-US"/>
    </w:rPr>
  </w:style>
  <w:style w:type="character" w:customStyle="1" w:styleId="BodyTextChar">
    <w:name w:val="Body Text Char"/>
    <w:basedOn w:val="DefaultParagraphFont"/>
    <w:link w:val="BodyText"/>
    <w:uiPriority w:val="1"/>
    <w:rsid w:val="007143AF"/>
    <w:rPr>
      <w:rFonts w:ascii="Garamond" w:eastAsia="Garamond" w:hAnsi="Garamond" w:cs="Garamond"/>
      <w:sz w:val="21"/>
      <w:szCs w:val="21"/>
      <w:lang w:bidi="en-US"/>
    </w:rPr>
  </w:style>
  <w:style w:type="paragraph" w:customStyle="1" w:styleId="TableParagraph">
    <w:name w:val="Table Paragraph"/>
    <w:basedOn w:val="Normal"/>
    <w:uiPriority w:val="1"/>
    <w:qFormat/>
    <w:rsid w:val="007143AF"/>
    <w:pPr>
      <w:widowControl w:val="0"/>
      <w:autoSpaceDE w:val="0"/>
      <w:autoSpaceDN w:val="0"/>
    </w:pPr>
    <w:rPr>
      <w:rFonts w:ascii="Garamond" w:eastAsia="Garamond" w:hAnsi="Garamond" w:cs="Garamond"/>
      <w:sz w:val="22"/>
      <w:szCs w:val="22"/>
      <w:lang w:bidi="en-US"/>
    </w:rPr>
  </w:style>
  <w:style w:type="paragraph" w:styleId="PlainText">
    <w:name w:val="Plain Text"/>
    <w:basedOn w:val="Normal"/>
    <w:link w:val="PlainTextChar"/>
    <w:uiPriority w:val="99"/>
    <w:unhideWhenUsed/>
    <w:rsid w:val="007143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7143AF"/>
    <w:rPr>
      <w:rFonts w:ascii="Consolas" w:eastAsia="Calibri" w:hAnsi="Consolas" w:cs="Consolas"/>
      <w:sz w:val="21"/>
      <w:szCs w:val="21"/>
    </w:rPr>
  </w:style>
  <w:style w:type="paragraph" w:styleId="Title">
    <w:name w:val="Title"/>
    <w:basedOn w:val="Normal"/>
    <w:link w:val="TitleChar"/>
    <w:uiPriority w:val="10"/>
    <w:qFormat/>
    <w:rsid w:val="007143AF"/>
    <w:pPr>
      <w:widowControl w:val="0"/>
      <w:autoSpaceDE w:val="0"/>
      <w:autoSpaceDN w:val="0"/>
      <w:spacing w:before="59"/>
      <w:ind w:left="787"/>
    </w:pPr>
    <w:rPr>
      <w:rFonts w:ascii="Arial" w:eastAsia="Arial" w:hAnsi="Arial" w:cs="Arial"/>
      <w:b/>
      <w:bCs/>
      <w:sz w:val="40"/>
      <w:szCs w:val="40"/>
    </w:rPr>
  </w:style>
  <w:style w:type="character" w:customStyle="1" w:styleId="TitleChar">
    <w:name w:val="Title Char"/>
    <w:basedOn w:val="DefaultParagraphFont"/>
    <w:link w:val="Title"/>
    <w:uiPriority w:val="10"/>
    <w:rsid w:val="007143AF"/>
    <w:rPr>
      <w:rFonts w:ascii="Arial" w:eastAsia="Arial" w:hAnsi="Arial" w:cs="Arial"/>
      <w:b/>
      <w:bCs/>
      <w:sz w:val="40"/>
      <w:szCs w:val="40"/>
    </w:rPr>
  </w:style>
  <w:style w:type="table" w:customStyle="1" w:styleId="TableGrid0">
    <w:name w:val="TableGrid"/>
    <w:rsid w:val="007143AF"/>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styleId="PlainTable1">
    <w:name w:val="Plain Table 1"/>
    <w:basedOn w:val="TableNormal"/>
    <w:uiPriority w:val="41"/>
    <w:rsid w:val="007143A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7143AF"/>
    <w:pPr>
      <w:spacing w:after="0"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7143AF"/>
    <w:rPr>
      <w:color w:val="808080"/>
    </w:rPr>
  </w:style>
  <w:style w:type="character" w:styleId="Strong">
    <w:name w:val="Strong"/>
    <w:uiPriority w:val="22"/>
    <w:qFormat/>
    <w:rsid w:val="007143AF"/>
    <w:rPr>
      <w:b/>
      <w:bCs/>
    </w:rPr>
  </w:style>
  <w:style w:type="character" w:styleId="Emphasis">
    <w:name w:val="Emphasis"/>
    <w:uiPriority w:val="20"/>
    <w:qFormat/>
    <w:rsid w:val="007143AF"/>
    <w:rPr>
      <w:i/>
      <w:iCs/>
    </w:rPr>
  </w:style>
  <w:style w:type="character" w:styleId="LineNumber">
    <w:name w:val="line number"/>
    <w:basedOn w:val="DefaultParagraphFont"/>
    <w:uiPriority w:val="99"/>
    <w:semiHidden/>
    <w:unhideWhenUsed/>
    <w:rsid w:val="007143AF"/>
  </w:style>
  <w:style w:type="paragraph" w:customStyle="1" w:styleId="Default">
    <w:name w:val="Default"/>
    <w:rsid w:val="00315D9E"/>
    <w:pPr>
      <w:autoSpaceDE w:val="0"/>
      <w:autoSpaceDN w:val="0"/>
      <w:adjustRightInd w:val="0"/>
      <w:spacing w:after="0" w:line="240" w:lineRule="auto"/>
    </w:pPr>
    <w:rPr>
      <w:rFonts w:ascii="Corbel" w:hAnsi="Corbel" w:cs="Corbel"/>
      <w:color w:val="000000"/>
      <w:sz w:val="24"/>
      <w:szCs w:val="24"/>
    </w:rPr>
  </w:style>
  <w:style w:type="paragraph" w:styleId="NoSpacing">
    <w:name w:val="No Spacing"/>
    <w:uiPriority w:val="1"/>
    <w:qFormat/>
    <w:rsid w:val="00315D9E"/>
    <w:pPr>
      <w:spacing w:after="0" w:line="240" w:lineRule="auto"/>
    </w:pPr>
  </w:style>
  <w:style w:type="character" w:customStyle="1" w:styleId="None">
    <w:name w:val="None"/>
    <w:rsid w:val="00315D9E"/>
  </w:style>
  <w:style w:type="character" w:customStyle="1" w:styleId="Hyperlink0">
    <w:name w:val="Hyperlink.0"/>
    <w:basedOn w:val="None"/>
    <w:rsid w:val="00315D9E"/>
    <w:rPr>
      <w:outline w:val="0"/>
      <w:color w:val="0000FF"/>
      <w:u w:val="single" w:color="0000FF"/>
    </w:rPr>
  </w:style>
  <w:style w:type="character" w:customStyle="1" w:styleId="Hyperlink1">
    <w:name w:val="Hyperlink.1"/>
    <w:basedOn w:val="None"/>
    <w:rsid w:val="00315D9E"/>
  </w:style>
  <w:style w:type="paragraph" w:styleId="Bibliography">
    <w:name w:val="Bibliography"/>
    <w:basedOn w:val="Normal"/>
    <w:next w:val="Normal"/>
    <w:uiPriority w:val="37"/>
    <w:unhideWhenUsed/>
    <w:rsid w:val="005B3FC2"/>
  </w:style>
  <w:style w:type="paragraph" w:styleId="Subtitle">
    <w:name w:val="Subtitle"/>
    <w:basedOn w:val="Normal"/>
    <w:next w:val="Normal"/>
    <w:link w:val="SubtitleChar"/>
    <w:uiPriority w:val="11"/>
    <w:qFormat/>
    <w:rsid w:val="005B3FC2"/>
    <w:pPr>
      <w:keepNext/>
      <w:keepLines/>
      <w:spacing w:after="320" w:line="276" w:lineRule="auto"/>
    </w:pPr>
    <w:rPr>
      <w:rFonts w:ascii="Arial" w:eastAsia="Arial" w:hAnsi="Arial" w:cs="Arial"/>
      <w:color w:val="666666"/>
      <w:sz w:val="30"/>
      <w:szCs w:val="30"/>
      <w:lang w:val="en" w:eastAsia="nl-NL"/>
    </w:rPr>
  </w:style>
  <w:style w:type="character" w:customStyle="1" w:styleId="SubtitleChar">
    <w:name w:val="Subtitle Char"/>
    <w:basedOn w:val="DefaultParagraphFont"/>
    <w:link w:val="Subtitle"/>
    <w:uiPriority w:val="11"/>
    <w:rsid w:val="005B3FC2"/>
    <w:rPr>
      <w:rFonts w:ascii="Arial" w:eastAsia="Arial" w:hAnsi="Arial" w:cs="Arial"/>
      <w:color w:val="666666"/>
      <w:sz w:val="30"/>
      <w:szCs w:val="30"/>
      <w:lang w:val="en"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824">
      <w:bodyDiv w:val="1"/>
      <w:marLeft w:val="0"/>
      <w:marRight w:val="0"/>
      <w:marTop w:val="0"/>
      <w:marBottom w:val="0"/>
      <w:divBdr>
        <w:top w:val="none" w:sz="0" w:space="0" w:color="auto"/>
        <w:left w:val="none" w:sz="0" w:space="0" w:color="auto"/>
        <w:bottom w:val="none" w:sz="0" w:space="0" w:color="auto"/>
        <w:right w:val="none" w:sz="0" w:space="0" w:color="auto"/>
      </w:divBdr>
      <w:divsChild>
        <w:div w:id="829827904">
          <w:marLeft w:val="0"/>
          <w:marRight w:val="0"/>
          <w:marTop w:val="0"/>
          <w:marBottom w:val="0"/>
          <w:divBdr>
            <w:top w:val="none" w:sz="0" w:space="0" w:color="auto"/>
            <w:left w:val="none" w:sz="0" w:space="0" w:color="auto"/>
            <w:bottom w:val="none" w:sz="0" w:space="0" w:color="auto"/>
            <w:right w:val="none" w:sz="0" w:space="0" w:color="auto"/>
          </w:divBdr>
          <w:divsChild>
            <w:div w:id="168565256">
              <w:marLeft w:val="0"/>
              <w:marRight w:val="0"/>
              <w:marTop w:val="0"/>
              <w:marBottom w:val="0"/>
              <w:divBdr>
                <w:top w:val="none" w:sz="0" w:space="0" w:color="auto"/>
                <w:left w:val="none" w:sz="0" w:space="0" w:color="auto"/>
                <w:bottom w:val="none" w:sz="0" w:space="0" w:color="auto"/>
                <w:right w:val="none" w:sz="0" w:space="0" w:color="auto"/>
              </w:divBdr>
              <w:divsChild>
                <w:div w:id="1439716735">
                  <w:marLeft w:val="0"/>
                  <w:marRight w:val="0"/>
                  <w:marTop w:val="0"/>
                  <w:marBottom w:val="0"/>
                  <w:divBdr>
                    <w:top w:val="none" w:sz="0" w:space="0" w:color="auto"/>
                    <w:left w:val="none" w:sz="0" w:space="0" w:color="auto"/>
                    <w:bottom w:val="none" w:sz="0" w:space="0" w:color="auto"/>
                    <w:right w:val="none" w:sz="0" w:space="0" w:color="auto"/>
                  </w:divBdr>
                  <w:divsChild>
                    <w:div w:id="599147083">
                      <w:marLeft w:val="0"/>
                      <w:marRight w:val="0"/>
                      <w:marTop w:val="0"/>
                      <w:marBottom w:val="0"/>
                      <w:divBdr>
                        <w:top w:val="none" w:sz="0" w:space="0" w:color="auto"/>
                        <w:left w:val="none" w:sz="0" w:space="0" w:color="auto"/>
                        <w:bottom w:val="none" w:sz="0" w:space="0" w:color="auto"/>
                        <w:right w:val="none" w:sz="0" w:space="0" w:color="auto"/>
                      </w:divBdr>
                      <w:divsChild>
                        <w:div w:id="911623487">
                          <w:marLeft w:val="0"/>
                          <w:marRight w:val="0"/>
                          <w:marTop w:val="0"/>
                          <w:marBottom w:val="0"/>
                          <w:divBdr>
                            <w:top w:val="none" w:sz="0" w:space="0" w:color="auto"/>
                            <w:left w:val="none" w:sz="0" w:space="0" w:color="auto"/>
                            <w:bottom w:val="none" w:sz="0" w:space="0" w:color="auto"/>
                            <w:right w:val="none" w:sz="0" w:space="0" w:color="auto"/>
                          </w:divBdr>
                          <w:divsChild>
                            <w:div w:id="2130123966">
                              <w:marLeft w:val="0"/>
                              <w:marRight w:val="0"/>
                              <w:marTop w:val="0"/>
                              <w:marBottom w:val="0"/>
                              <w:divBdr>
                                <w:top w:val="none" w:sz="0" w:space="0" w:color="auto"/>
                                <w:left w:val="none" w:sz="0" w:space="0" w:color="auto"/>
                                <w:bottom w:val="none" w:sz="0" w:space="0" w:color="auto"/>
                                <w:right w:val="none" w:sz="0" w:space="0" w:color="auto"/>
                              </w:divBdr>
                              <w:divsChild>
                                <w:div w:id="2057119857">
                                  <w:marLeft w:val="0"/>
                                  <w:marRight w:val="0"/>
                                  <w:marTop w:val="0"/>
                                  <w:marBottom w:val="0"/>
                                  <w:divBdr>
                                    <w:top w:val="none" w:sz="0" w:space="0" w:color="auto"/>
                                    <w:left w:val="none" w:sz="0" w:space="0" w:color="auto"/>
                                    <w:bottom w:val="none" w:sz="0" w:space="0" w:color="auto"/>
                                    <w:right w:val="none" w:sz="0" w:space="0" w:color="auto"/>
                                  </w:divBdr>
                                  <w:divsChild>
                                    <w:div w:id="1286280310">
                                      <w:marLeft w:val="0"/>
                                      <w:marRight w:val="0"/>
                                      <w:marTop w:val="0"/>
                                      <w:marBottom w:val="0"/>
                                      <w:divBdr>
                                        <w:top w:val="none" w:sz="0" w:space="0" w:color="auto"/>
                                        <w:left w:val="none" w:sz="0" w:space="0" w:color="auto"/>
                                        <w:bottom w:val="none" w:sz="0" w:space="0" w:color="auto"/>
                                        <w:right w:val="none" w:sz="0" w:space="0" w:color="auto"/>
                                      </w:divBdr>
                                      <w:divsChild>
                                        <w:div w:id="1877214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99923">
          <w:marLeft w:val="0"/>
          <w:marRight w:val="0"/>
          <w:marTop w:val="0"/>
          <w:marBottom w:val="0"/>
          <w:divBdr>
            <w:top w:val="none" w:sz="0" w:space="0" w:color="auto"/>
            <w:left w:val="none" w:sz="0" w:space="0" w:color="auto"/>
            <w:bottom w:val="none" w:sz="0" w:space="0" w:color="auto"/>
            <w:right w:val="none" w:sz="0" w:space="0" w:color="auto"/>
          </w:divBdr>
          <w:divsChild>
            <w:div w:id="1880390884">
              <w:marLeft w:val="0"/>
              <w:marRight w:val="0"/>
              <w:marTop w:val="0"/>
              <w:marBottom w:val="0"/>
              <w:divBdr>
                <w:top w:val="none" w:sz="0" w:space="0" w:color="auto"/>
                <w:left w:val="none" w:sz="0" w:space="0" w:color="auto"/>
                <w:bottom w:val="none" w:sz="0" w:space="0" w:color="auto"/>
                <w:right w:val="none" w:sz="0" w:space="0" w:color="auto"/>
              </w:divBdr>
              <w:divsChild>
                <w:div w:id="19853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423262953">
      <w:bodyDiv w:val="1"/>
      <w:marLeft w:val="0"/>
      <w:marRight w:val="0"/>
      <w:marTop w:val="0"/>
      <w:marBottom w:val="0"/>
      <w:divBdr>
        <w:top w:val="none" w:sz="0" w:space="0" w:color="auto"/>
        <w:left w:val="none" w:sz="0" w:space="0" w:color="auto"/>
        <w:bottom w:val="none" w:sz="0" w:space="0" w:color="auto"/>
        <w:right w:val="none" w:sz="0" w:space="0" w:color="auto"/>
      </w:divBdr>
    </w:div>
    <w:div w:id="802498819">
      <w:bodyDiv w:val="1"/>
      <w:marLeft w:val="0"/>
      <w:marRight w:val="0"/>
      <w:marTop w:val="0"/>
      <w:marBottom w:val="0"/>
      <w:divBdr>
        <w:top w:val="none" w:sz="0" w:space="0" w:color="auto"/>
        <w:left w:val="none" w:sz="0" w:space="0" w:color="auto"/>
        <w:bottom w:val="none" w:sz="0" w:space="0" w:color="auto"/>
        <w:right w:val="none" w:sz="0" w:space="0" w:color="auto"/>
      </w:divBdr>
    </w:div>
    <w:div w:id="811409915">
      <w:bodyDiv w:val="1"/>
      <w:marLeft w:val="0"/>
      <w:marRight w:val="0"/>
      <w:marTop w:val="0"/>
      <w:marBottom w:val="0"/>
      <w:divBdr>
        <w:top w:val="none" w:sz="0" w:space="0" w:color="auto"/>
        <w:left w:val="none" w:sz="0" w:space="0" w:color="auto"/>
        <w:bottom w:val="none" w:sz="0" w:space="0" w:color="auto"/>
        <w:right w:val="none" w:sz="0" w:space="0" w:color="auto"/>
      </w:divBdr>
    </w:div>
    <w:div w:id="948050866">
      <w:bodyDiv w:val="1"/>
      <w:marLeft w:val="0"/>
      <w:marRight w:val="0"/>
      <w:marTop w:val="0"/>
      <w:marBottom w:val="0"/>
      <w:divBdr>
        <w:top w:val="none" w:sz="0" w:space="0" w:color="auto"/>
        <w:left w:val="none" w:sz="0" w:space="0" w:color="auto"/>
        <w:bottom w:val="none" w:sz="0" w:space="0" w:color="auto"/>
        <w:right w:val="none" w:sz="0" w:space="0" w:color="auto"/>
      </w:divBdr>
    </w:div>
    <w:div w:id="130353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33556296/" TargetMode="External"/><Relationship Id="rId18" Type="http://schemas.openxmlformats.org/officeDocument/2006/relationships/hyperlink" Target="https://datahelpdesk.worldbank.org/knowledgebase/articles/906519" TargetMode="External"/><Relationship Id="rId26" Type="http://schemas.openxmlformats.org/officeDocument/2006/relationships/hyperlink" Target="https://www.who.int/hrh/resources/pub_globstrathrh-2030/en/" TargetMode="External"/><Relationship Id="rId3" Type="http://schemas.openxmlformats.org/officeDocument/2006/relationships/settings" Target="settings.xml"/><Relationship Id="rId21" Type="http://schemas.openxmlformats.org/officeDocument/2006/relationships/hyperlink" Target="https://www.semanticscholar.org/paper/Online-Education-for-Undergraduate-Health-Education-Muflih-Abuhammad/2ee599843953907bbc6eb24968497ed8b26dd0f8"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bmcmededuc.biomedcentral.com/articles/10.1186/s12909-018-1240-0" TargetMode="External"/><Relationship Id="rId17" Type="http://schemas.openxmlformats.org/officeDocument/2006/relationships/hyperlink" Target="https://support.google.com/surveys/answer/6189786" TargetMode="External"/><Relationship Id="rId25" Type="http://schemas.openxmlformats.org/officeDocument/2006/relationships/hyperlink" Target="https://apps.who.int/iris/handle/10665/25004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networktufh.org/" TargetMode="External"/><Relationship Id="rId20" Type="http://schemas.openxmlformats.org/officeDocument/2006/relationships/hyperlink" Target="https://www.researchgate.net/publication/344723626_E-Learning_Implementation_during_The_COVID-19_outbreakThe_Perspective_of_Students_and_Lecturer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mcmededuc.biomedcentral.com/articles/10.1186/s12909-020-02007-6" TargetMode="External"/><Relationship Id="rId24" Type="http://schemas.openxmlformats.org/officeDocument/2006/relationships/hyperlink" Target="https://www.thelancet.com/pdfs/journals/lancet/PIIS0140-6736(20)30460-8.pd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ubs.acs.org/doi/abs/10.1021/acs.jchemed.0c00668" TargetMode="External"/><Relationship Id="rId23" Type="http://schemas.openxmlformats.org/officeDocument/2006/relationships/hyperlink" Target="https://scirp.org/reference/referencespapers.aspx?referenceid=1639583" TargetMode="External"/><Relationship Id="rId28" Type="http://schemas.openxmlformats.org/officeDocument/2006/relationships/header" Target="header2.xml"/><Relationship Id="rId10" Type="http://schemas.openxmlformats.org/officeDocument/2006/relationships/hyperlink" Target="https://www.researchgate.net/publication/241616400_What_Is_Technological_Pedagogical_Content_Knowledge" TargetMode="External"/><Relationship Id="rId19" Type="http://schemas.openxmlformats.org/officeDocument/2006/relationships/hyperlink" Target="https://www.ncbi.nlm.nih.gov/pmc/articles/PMC7682244/"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jamanetwork.com/journals/jama/fullarticle/2764138" TargetMode="External"/><Relationship Id="rId14" Type="http://schemas.openxmlformats.org/officeDocument/2006/relationships/hyperlink" Target="https://pubmed.ncbi.nlm.nih.gov/32565611/" TargetMode="External"/><Relationship Id="rId22" Type="http://schemas.openxmlformats.org/officeDocument/2006/relationships/hyperlink" Target="https://www.nature.com/articles/s41432-020-0089-3"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5226</Words>
  <Characters>29789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314</cp:revision>
  <dcterms:created xsi:type="dcterms:W3CDTF">2021-10-25T19:42:00Z</dcterms:created>
  <dcterms:modified xsi:type="dcterms:W3CDTF">2021-10-28T09:37:00Z</dcterms:modified>
</cp:coreProperties>
</file>