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62" w:rsidRPr="00A278B9" w:rsidRDefault="00111062" w:rsidP="00111062">
      <w:pPr>
        <w:contextualSpacing/>
        <w:mirrorIndents/>
        <w:jc w:val="both"/>
        <w:rPr>
          <w:b/>
        </w:rPr>
      </w:pPr>
      <w:bookmarkStart w:id="0" w:name="_Hlk76909681"/>
      <w:r w:rsidRPr="00A278B9">
        <w:rPr>
          <w:b/>
        </w:rPr>
        <w:t>Case Report</w:t>
      </w:r>
    </w:p>
    <w:p w:rsidR="00111062" w:rsidRPr="003826C8" w:rsidRDefault="00111062" w:rsidP="00111062">
      <w:pPr>
        <w:contextualSpacing/>
        <w:mirrorIndents/>
        <w:jc w:val="both"/>
        <w:rPr>
          <w:sz w:val="20"/>
          <w:szCs w:val="20"/>
        </w:rPr>
      </w:pPr>
    </w:p>
    <w:p w:rsidR="009704EA" w:rsidRPr="006F634C" w:rsidRDefault="009704EA" w:rsidP="009704EA">
      <w:pPr>
        <w:contextualSpacing/>
        <w:mirrorIndents/>
        <w:jc w:val="center"/>
        <w:rPr>
          <w:b/>
          <w:sz w:val="30"/>
          <w:szCs w:val="30"/>
        </w:rPr>
      </w:pPr>
      <w:r w:rsidRPr="006F634C">
        <w:rPr>
          <w:b/>
          <w:sz w:val="30"/>
          <w:szCs w:val="30"/>
        </w:rPr>
        <w:t>Covid-19 Vaccination Immune Response: Bone Marrow Biopsy with Polyclonal Reactive B cell Lymphocytosis</w:t>
      </w:r>
      <w:r w:rsidR="004E093E">
        <w:rPr>
          <w:b/>
          <w:sz w:val="30"/>
          <w:szCs w:val="30"/>
        </w:rPr>
        <w:t>:</w:t>
      </w:r>
      <w:r w:rsidRPr="006F634C">
        <w:rPr>
          <w:b/>
          <w:sz w:val="30"/>
          <w:szCs w:val="30"/>
        </w:rPr>
        <w:t xml:space="preserve"> A Case Report</w:t>
      </w:r>
    </w:p>
    <w:p w:rsidR="00111062" w:rsidRPr="003826C8" w:rsidRDefault="00111062" w:rsidP="00111062">
      <w:pPr>
        <w:contextualSpacing/>
        <w:mirrorIndents/>
        <w:jc w:val="both"/>
        <w:rPr>
          <w:b/>
          <w:color w:val="000000" w:themeColor="text1"/>
          <w:sz w:val="20"/>
          <w:szCs w:val="20"/>
        </w:rPr>
      </w:pPr>
    </w:p>
    <w:p w:rsidR="00111062" w:rsidRPr="00EE1614" w:rsidRDefault="00516910" w:rsidP="00111062">
      <w:pPr>
        <w:contextualSpacing/>
        <w:mirrorIndents/>
        <w:jc w:val="both"/>
        <w:rPr>
          <w:b/>
        </w:rPr>
      </w:pPr>
      <w:r>
        <w:rPr>
          <w:b/>
        </w:rPr>
        <w:t>Charles M. Lombard</w:t>
      </w:r>
      <w:r w:rsidR="006735AD" w:rsidRPr="006735AD">
        <w:rPr>
          <w:b/>
        </w:rPr>
        <w:t xml:space="preserve"> M.D</w:t>
      </w:r>
      <w:r w:rsidR="00111062" w:rsidRPr="00DC3F6A">
        <w:rPr>
          <w:b/>
          <w:color w:val="FF0000"/>
          <w:vertAlign w:val="superscript"/>
        </w:rPr>
        <w:t>#</w:t>
      </w:r>
    </w:p>
    <w:p w:rsidR="00111062" w:rsidRPr="003826C8" w:rsidRDefault="00111062" w:rsidP="00111062">
      <w:pPr>
        <w:contextualSpacing/>
        <w:mirrorIndents/>
        <w:jc w:val="both"/>
        <w:rPr>
          <w:sz w:val="20"/>
          <w:szCs w:val="20"/>
        </w:rPr>
      </w:pPr>
    </w:p>
    <w:p w:rsidR="00111062" w:rsidRDefault="00111062" w:rsidP="00C651BA">
      <w:pPr>
        <w:contextualSpacing/>
        <w:mirrorIndents/>
        <w:jc w:val="both"/>
        <w:rPr>
          <w:sz w:val="20"/>
          <w:szCs w:val="20"/>
        </w:rPr>
      </w:pPr>
      <w:r w:rsidRPr="00527570">
        <w:rPr>
          <w:color w:val="FF0000"/>
          <w:sz w:val="20"/>
          <w:szCs w:val="20"/>
          <w:vertAlign w:val="superscript"/>
        </w:rPr>
        <w:t>#</w:t>
      </w:r>
      <w:r w:rsidR="00C651BA" w:rsidRPr="00C651BA">
        <w:rPr>
          <w:sz w:val="20"/>
          <w:szCs w:val="20"/>
        </w:rPr>
        <w:t>Medical Director of Pathology and Laboratory</w:t>
      </w:r>
      <w:r w:rsidR="00AE2580">
        <w:rPr>
          <w:sz w:val="20"/>
          <w:szCs w:val="20"/>
        </w:rPr>
        <w:t xml:space="preserve">, </w:t>
      </w:r>
      <w:r w:rsidR="00C651BA" w:rsidRPr="00C651BA">
        <w:rPr>
          <w:sz w:val="20"/>
          <w:szCs w:val="20"/>
        </w:rPr>
        <w:t xml:space="preserve">El Camino Hospital, </w:t>
      </w:r>
      <w:r w:rsidR="00C7702A" w:rsidRPr="00C7702A">
        <w:rPr>
          <w:sz w:val="20"/>
          <w:szCs w:val="20"/>
        </w:rPr>
        <w:t>California</w:t>
      </w:r>
      <w:r w:rsidR="00C651BA" w:rsidRPr="00C651BA">
        <w:rPr>
          <w:sz w:val="20"/>
          <w:szCs w:val="20"/>
        </w:rPr>
        <w:t>, USA</w:t>
      </w:r>
    </w:p>
    <w:p w:rsidR="00AE2580" w:rsidRPr="003826C8" w:rsidRDefault="00AE2580" w:rsidP="00C651BA">
      <w:pPr>
        <w:contextualSpacing/>
        <w:mirrorIndents/>
        <w:jc w:val="both"/>
        <w:rPr>
          <w:sz w:val="20"/>
          <w:szCs w:val="20"/>
        </w:rPr>
      </w:pPr>
    </w:p>
    <w:p w:rsidR="00111062" w:rsidRDefault="00111062" w:rsidP="00111062">
      <w:pPr>
        <w:contextualSpacing/>
        <w:mirrorIndents/>
        <w:jc w:val="both"/>
        <w:rPr>
          <w:sz w:val="20"/>
          <w:szCs w:val="20"/>
        </w:rPr>
      </w:pPr>
      <w:r w:rsidRPr="003826C8">
        <w:rPr>
          <w:b/>
          <w:color w:val="FF0000"/>
          <w:sz w:val="20"/>
          <w:szCs w:val="20"/>
          <w:vertAlign w:val="superscript"/>
        </w:rPr>
        <w:t>#</w:t>
      </w:r>
      <w:r w:rsidRPr="003826C8">
        <w:rPr>
          <w:b/>
          <w:sz w:val="20"/>
          <w:szCs w:val="20"/>
        </w:rPr>
        <w:t>Corresponding author:</w:t>
      </w:r>
      <w:r w:rsidRPr="003826C8">
        <w:rPr>
          <w:sz w:val="20"/>
          <w:szCs w:val="20"/>
        </w:rPr>
        <w:t xml:space="preserve"> </w:t>
      </w:r>
      <w:r w:rsidR="00D85FF5" w:rsidRPr="00D85FF5">
        <w:rPr>
          <w:sz w:val="20"/>
          <w:szCs w:val="20"/>
        </w:rPr>
        <w:t>Charles M. Lombard, M.D.</w:t>
      </w:r>
      <w:r w:rsidR="00DB75AC">
        <w:rPr>
          <w:sz w:val="20"/>
          <w:szCs w:val="20"/>
        </w:rPr>
        <w:t xml:space="preserve">, </w:t>
      </w:r>
      <w:r w:rsidR="00D85FF5" w:rsidRPr="00D85FF5">
        <w:rPr>
          <w:sz w:val="20"/>
          <w:szCs w:val="20"/>
        </w:rPr>
        <w:t>Medical Director of Pathology and Laboratory</w:t>
      </w:r>
      <w:r w:rsidR="00DB75AC">
        <w:rPr>
          <w:sz w:val="20"/>
          <w:szCs w:val="20"/>
        </w:rPr>
        <w:t xml:space="preserve">, </w:t>
      </w:r>
      <w:r w:rsidR="00D85FF5" w:rsidRPr="00D85FF5">
        <w:rPr>
          <w:sz w:val="20"/>
          <w:szCs w:val="20"/>
        </w:rPr>
        <w:t>2500 Grant Road</w:t>
      </w:r>
      <w:r w:rsidR="00E828BC">
        <w:rPr>
          <w:sz w:val="20"/>
          <w:szCs w:val="20"/>
        </w:rPr>
        <w:t xml:space="preserve"> </w:t>
      </w:r>
      <w:r w:rsidR="00D85FF5" w:rsidRPr="00D85FF5">
        <w:rPr>
          <w:sz w:val="20"/>
          <w:szCs w:val="20"/>
        </w:rPr>
        <w:t>GC #431</w:t>
      </w:r>
      <w:r w:rsidR="00DB75AC">
        <w:rPr>
          <w:sz w:val="20"/>
          <w:szCs w:val="20"/>
        </w:rPr>
        <w:t xml:space="preserve">, </w:t>
      </w:r>
      <w:r w:rsidR="00D85FF5" w:rsidRPr="00D85FF5">
        <w:rPr>
          <w:sz w:val="20"/>
          <w:szCs w:val="20"/>
        </w:rPr>
        <w:t xml:space="preserve">El Camino Hospital, Mountain View, </w:t>
      </w:r>
      <w:r w:rsidR="000F7CEA" w:rsidRPr="00C7702A">
        <w:rPr>
          <w:sz w:val="20"/>
          <w:szCs w:val="20"/>
        </w:rPr>
        <w:t>California</w:t>
      </w:r>
      <w:r w:rsidR="00D85FF5" w:rsidRPr="00D85FF5">
        <w:rPr>
          <w:sz w:val="20"/>
          <w:szCs w:val="20"/>
        </w:rPr>
        <w:t>, USA</w:t>
      </w:r>
    </w:p>
    <w:p w:rsidR="000F7CEA" w:rsidRPr="003826C8" w:rsidRDefault="000F7CEA" w:rsidP="00111062">
      <w:pPr>
        <w:contextualSpacing/>
        <w:mirrorIndents/>
        <w:jc w:val="both"/>
        <w:rPr>
          <w:sz w:val="20"/>
          <w:szCs w:val="20"/>
        </w:rPr>
      </w:pPr>
    </w:p>
    <w:p w:rsidR="00111062" w:rsidRPr="003826C8" w:rsidRDefault="00111062" w:rsidP="00111062">
      <w:pPr>
        <w:contextualSpacing/>
        <w:mirrorIndents/>
        <w:jc w:val="both"/>
        <w:rPr>
          <w:sz w:val="20"/>
          <w:szCs w:val="20"/>
        </w:rPr>
      </w:pPr>
      <w:r w:rsidRPr="003826C8">
        <w:rPr>
          <w:b/>
          <w:sz w:val="20"/>
          <w:szCs w:val="20"/>
        </w:rPr>
        <w:t>How to cite this article:</w:t>
      </w:r>
      <w:r w:rsidRPr="003826C8">
        <w:rPr>
          <w:sz w:val="20"/>
          <w:szCs w:val="20"/>
        </w:rPr>
        <w:t xml:space="preserve"> </w:t>
      </w:r>
      <w:r w:rsidR="00F61963" w:rsidRPr="00F61963">
        <w:rPr>
          <w:sz w:val="20"/>
          <w:szCs w:val="20"/>
        </w:rPr>
        <w:t xml:space="preserve">Lombard </w:t>
      </w:r>
      <w:r w:rsidR="00F61963">
        <w:rPr>
          <w:sz w:val="20"/>
          <w:szCs w:val="20"/>
        </w:rPr>
        <w:t xml:space="preserve">CM </w:t>
      </w:r>
      <w:r w:rsidRPr="003826C8">
        <w:rPr>
          <w:sz w:val="20"/>
          <w:szCs w:val="20"/>
        </w:rPr>
        <w:t xml:space="preserve">(2021) </w:t>
      </w:r>
      <w:r w:rsidR="001C012C" w:rsidRPr="001C012C">
        <w:rPr>
          <w:sz w:val="20"/>
          <w:szCs w:val="20"/>
        </w:rPr>
        <w:t>Covid-19 Vaccination Immune Response: Bone Marrow Biopsy with Polyclonal Reactive B cell Lymphocytosis. A Case Report</w:t>
      </w:r>
      <w:r w:rsidRPr="003826C8">
        <w:rPr>
          <w:sz w:val="20"/>
          <w:szCs w:val="20"/>
        </w:rPr>
        <w:t xml:space="preserve">. </w:t>
      </w:r>
      <w:proofErr w:type="spellStart"/>
      <w:r w:rsidRPr="003826C8">
        <w:rPr>
          <w:sz w:val="20"/>
          <w:szCs w:val="20"/>
        </w:rPr>
        <w:t>Colu</w:t>
      </w:r>
      <w:proofErr w:type="spellEnd"/>
      <w:r w:rsidRPr="003826C8">
        <w:rPr>
          <w:sz w:val="20"/>
          <w:szCs w:val="20"/>
        </w:rPr>
        <w:t xml:space="preserve"> J </w:t>
      </w:r>
      <w:proofErr w:type="spellStart"/>
      <w:proofErr w:type="gramStart"/>
      <w:r w:rsidRPr="003826C8">
        <w:rPr>
          <w:sz w:val="20"/>
          <w:szCs w:val="20"/>
        </w:rPr>
        <w:t>Cas</w:t>
      </w:r>
      <w:proofErr w:type="spellEnd"/>
      <w:proofErr w:type="gramEnd"/>
      <w:r w:rsidRPr="003826C8">
        <w:rPr>
          <w:sz w:val="20"/>
          <w:szCs w:val="20"/>
        </w:rPr>
        <w:t xml:space="preserve"> Repo 01(01</w:t>
      </w:r>
      <w:r w:rsidR="00963BBA">
        <w:rPr>
          <w:sz w:val="20"/>
          <w:szCs w:val="20"/>
        </w:rPr>
        <w:t>): 2021-10</w:t>
      </w:r>
      <w:r w:rsidRPr="003826C8">
        <w:rPr>
          <w:sz w:val="20"/>
          <w:szCs w:val="20"/>
        </w:rPr>
        <w:t>.</w:t>
      </w:r>
    </w:p>
    <w:p w:rsidR="00111062" w:rsidRPr="003826C8" w:rsidRDefault="00111062" w:rsidP="00111062">
      <w:pPr>
        <w:contextualSpacing/>
        <w:mirrorIndents/>
        <w:jc w:val="both"/>
        <w:rPr>
          <w:sz w:val="20"/>
          <w:szCs w:val="20"/>
        </w:rPr>
      </w:pPr>
    </w:p>
    <w:p w:rsidR="00111062" w:rsidRPr="003826C8" w:rsidRDefault="00111062" w:rsidP="00111062">
      <w:pPr>
        <w:contextualSpacing/>
        <w:mirrorIndents/>
        <w:jc w:val="both"/>
        <w:rPr>
          <w:sz w:val="20"/>
          <w:szCs w:val="20"/>
        </w:rPr>
      </w:pPr>
      <w:r w:rsidRPr="003826C8">
        <w:rPr>
          <w:b/>
          <w:sz w:val="20"/>
          <w:szCs w:val="20"/>
        </w:rPr>
        <w:t>Submission Date:</w:t>
      </w:r>
      <w:r w:rsidRPr="003826C8">
        <w:rPr>
          <w:sz w:val="20"/>
          <w:szCs w:val="20"/>
        </w:rPr>
        <w:t xml:space="preserve"> </w:t>
      </w:r>
      <w:r w:rsidR="000D3088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October</w:t>
      </w:r>
      <w:r w:rsidRPr="003826C8">
        <w:rPr>
          <w:sz w:val="20"/>
          <w:szCs w:val="20"/>
        </w:rPr>
        <w:t>,</w:t>
      </w:r>
      <w:proofErr w:type="gramEnd"/>
      <w:r w:rsidRPr="003826C8">
        <w:rPr>
          <w:sz w:val="20"/>
          <w:szCs w:val="20"/>
        </w:rPr>
        <w:t xml:space="preserve"> 2021; </w:t>
      </w:r>
      <w:r w:rsidRPr="003826C8">
        <w:rPr>
          <w:b/>
          <w:sz w:val="20"/>
          <w:szCs w:val="20"/>
        </w:rPr>
        <w:t>Accepted Date:</w:t>
      </w:r>
      <w:r w:rsidRPr="003826C8">
        <w:rPr>
          <w:sz w:val="20"/>
          <w:szCs w:val="20"/>
        </w:rPr>
        <w:t xml:space="preserve"> </w:t>
      </w:r>
      <w:r>
        <w:rPr>
          <w:sz w:val="20"/>
          <w:szCs w:val="20"/>
        </w:rPr>
        <w:t>28 October</w:t>
      </w:r>
      <w:r w:rsidRPr="003826C8">
        <w:rPr>
          <w:sz w:val="20"/>
          <w:szCs w:val="20"/>
        </w:rPr>
        <w:t xml:space="preserve">, 2021; </w:t>
      </w:r>
      <w:r w:rsidRPr="003826C8">
        <w:rPr>
          <w:b/>
          <w:sz w:val="20"/>
          <w:szCs w:val="20"/>
        </w:rPr>
        <w:t>Published Online:</w:t>
      </w:r>
      <w:r w:rsidRPr="003826C8">
        <w:rPr>
          <w:sz w:val="20"/>
          <w:szCs w:val="20"/>
        </w:rPr>
        <w:t xml:space="preserve"> </w:t>
      </w:r>
      <w:r>
        <w:rPr>
          <w:sz w:val="20"/>
          <w:szCs w:val="20"/>
        </w:rPr>
        <w:t>02 November</w:t>
      </w:r>
      <w:r w:rsidRPr="003826C8">
        <w:rPr>
          <w:sz w:val="20"/>
          <w:szCs w:val="20"/>
        </w:rPr>
        <w:t>, 2021</w:t>
      </w:r>
    </w:p>
    <w:bookmarkEnd w:id="0"/>
    <w:p w:rsidR="00D35D35" w:rsidRPr="006F634C" w:rsidRDefault="00D35D35" w:rsidP="0015047C">
      <w:pPr>
        <w:contextualSpacing/>
        <w:mirrorIndents/>
        <w:jc w:val="both"/>
        <w:rPr>
          <w:b/>
          <w:sz w:val="20"/>
          <w:szCs w:val="20"/>
        </w:rPr>
      </w:pPr>
    </w:p>
    <w:p w:rsidR="006702AF" w:rsidRPr="00AD10A8" w:rsidRDefault="007130EA" w:rsidP="0015047C">
      <w:pPr>
        <w:contextualSpacing/>
        <w:mirrorIndents/>
        <w:jc w:val="both"/>
        <w:rPr>
          <w:b/>
          <w:sz w:val="22"/>
          <w:szCs w:val="22"/>
        </w:rPr>
      </w:pPr>
      <w:r w:rsidRPr="00AD10A8">
        <w:rPr>
          <w:b/>
          <w:sz w:val="22"/>
          <w:szCs w:val="22"/>
        </w:rPr>
        <w:t>Abstract</w:t>
      </w:r>
    </w:p>
    <w:p w:rsidR="007130EA" w:rsidRPr="006F634C" w:rsidRDefault="007130EA" w:rsidP="0015047C">
      <w:pPr>
        <w:contextualSpacing/>
        <w:mirrorIndents/>
        <w:jc w:val="both"/>
        <w:rPr>
          <w:b/>
          <w:sz w:val="20"/>
          <w:szCs w:val="20"/>
        </w:rPr>
      </w:pPr>
    </w:p>
    <w:p w:rsidR="006702AF" w:rsidRPr="006F634C" w:rsidRDefault="006702AF" w:rsidP="0015047C">
      <w:pPr>
        <w:contextualSpacing/>
        <w:mirrorIndents/>
        <w:jc w:val="both"/>
        <w:rPr>
          <w:sz w:val="20"/>
          <w:szCs w:val="20"/>
        </w:rPr>
      </w:pPr>
      <w:r w:rsidRPr="006F634C">
        <w:rPr>
          <w:sz w:val="20"/>
          <w:szCs w:val="20"/>
        </w:rPr>
        <w:t>A patient with a recent diagnosis of diffuse large B-cell lymphoma, NOS</w:t>
      </w:r>
      <w:r w:rsidR="004214DA" w:rsidRPr="006F634C">
        <w:rPr>
          <w:sz w:val="20"/>
          <w:szCs w:val="20"/>
        </w:rPr>
        <w:t xml:space="preserve"> (not otherwise specified)</w:t>
      </w:r>
      <w:r w:rsidRPr="006F634C">
        <w:rPr>
          <w:sz w:val="20"/>
          <w:szCs w:val="20"/>
        </w:rPr>
        <w:t xml:space="preserve"> underwent a staging bone marrow biopsy.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 bone marrow biopsy showed a striking reactive polyclonal B cell lymphocytosis without evidence of bone m</w:t>
      </w:r>
      <w:r w:rsidR="004C62FE">
        <w:rPr>
          <w:sz w:val="20"/>
          <w:szCs w:val="20"/>
        </w:rPr>
        <w:t xml:space="preserve">arrow involvement by lymphoma. </w:t>
      </w:r>
      <w:r w:rsidRPr="006F634C">
        <w:rPr>
          <w:sz w:val="20"/>
          <w:szCs w:val="20"/>
        </w:rPr>
        <w:t>The etiology for the polyclonal B cell lymphocytosis was unclear unt</w:t>
      </w:r>
      <w:r w:rsidR="004137B2">
        <w:rPr>
          <w:sz w:val="20"/>
          <w:szCs w:val="20"/>
        </w:rPr>
        <w:t>il the history of a prior Covid-</w:t>
      </w:r>
      <w:r w:rsidRPr="006F634C">
        <w:rPr>
          <w:sz w:val="20"/>
          <w:szCs w:val="20"/>
        </w:rPr>
        <w:t>19 vaccination 49 days prio</w:t>
      </w:r>
      <w:r w:rsidR="007C205D">
        <w:rPr>
          <w:sz w:val="20"/>
          <w:szCs w:val="20"/>
        </w:rPr>
        <w:t xml:space="preserve">r to the bone marrow biopsy </w:t>
      </w:r>
      <w:proofErr w:type="gramStart"/>
      <w:r w:rsidR="007C205D">
        <w:rPr>
          <w:sz w:val="20"/>
          <w:szCs w:val="20"/>
        </w:rPr>
        <w:t xml:space="preserve">was </w:t>
      </w:r>
      <w:r w:rsidRPr="006F634C">
        <w:rPr>
          <w:sz w:val="20"/>
          <w:szCs w:val="20"/>
        </w:rPr>
        <w:t>elicited</w:t>
      </w:r>
      <w:proofErr w:type="gramEnd"/>
      <w:r w:rsidRPr="006F634C">
        <w:rPr>
          <w:sz w:val="20"/>
          <w:szCs w:val="20"/>
        </w:rPr>
        <w:t xml:space="preserve">. The differential diagnosis of reactive polyclonal B cell lymphocytosis </w:t>
      </w:r>
      <w:proofErr w:type="gramStart"/>
      <w:r w:rsidRPr="006F634C">
        <w:rPr>
          <w:sz w:val="20"/>
          <w:szCs w:val="20"/>
        </w:rPr>
        <w:t>is discussed</w:t>
      </w:r>
      <w:proofErr w:type="gramEnd"/>
      <w:r w:rsidRPr="006F634C">
        <w:rPr>
          <w:sz w:val="20"/>
          <w:szCs w:val="20"/>
        </w:rPr>
        <w:t>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The importance of including </w:t>
      </w:r>
      <w:r w:rsidR="00793CC0">
        <w:rPr>
          <w:sz w:val="20"/>
          <w:szCs w:val="20"/>
        </w:rPr>
        <w:t>Covid-</w:t>
      </w:r>
      <w:r w:rsidR="00793CC0" w:rsidRPr="006F634C">
        <w:rPr>
          <w:sz w:val="20"/>
          <w:szCs w:val="20"/>
        </w:rPr>
        <w:t>19</w:t>
      </w:r>
      <w:r w:rsidRPr="006F634C">
        <w:rPr>
          <w:sz w:val="20"/>
          <w:szCs w:val="20"/>
        </w:rPr>
        <w:t xml:space="preserve"> virus vaccination in the differential diagnosis of polyclonal B cell lymphocytosis in the marrow </w:t>
      </w:r>
      <w:proofErr w:type="gramStart"/>
      <w:r w:rsidRPr="006F634C">
        <w:rPr>
          <w:sz w:val="20"/>
          <w:szCs w:val="20"/>
        </w:rPr>
        <w:t>is emphasized</w:t>
      </w:r>
      <w:proofErr w:type="gramEnd"/>
      <w:r w:rsidRPr="006F634C">
        <w:rPr>
          <w:sz w:val="20"/>
          <w:szCs w:val="20"/>
        </w:rPr>
        <w:t>, particularly in view of the widespread public health campaign for universal vaccination.</w:t>
      </w:r>
    </w:p>
    <w:p w:rsidR="006702AF" w:rsidRPr="006F634C" w:rsidRDefault="006702AF" w:rsidP="0015047C">
      <w:pPr>
        <w:contextualSpacing/>
        <w:mirrorIndents/>
        <w:jc w:val="both"/>
        <w:rPr>
          <w:sz w:val="20"/>
          <w:szCs w:val="20"/>
        </w:rPr>
      </w:pPr>
    </w:p>
    <w:p w:rsidR="006702AF" w:rsidRPr="006F634C" w:rsidRDefault="00C6753A" w:rsidP="0015047C">
      <w:pPr>
        <w:contextualSpacing/>
        <w:mirrorIndents/>
        <w:jc w:val="both"/>
        <w:rPr>
          <w:sz w:val="20"/>
          <w:szCs w:val="20"/>
        </w:rPr>
      </w:pPr>
      <w:r w:rsidRPr="00236B5B">
        <w:rPr>
          <w:b/>
          <w:sz w:val="22"/>
          <w:szCs w:val="22"/>
        </w:rPr>
        <w:t>Key</w:t>
      </w:r>
      <w:r w:rsidR="006702AF" w:rsidRPr="00236B5B">
        <w:rPr>
          <w:b/>
          <w:sz w:val="22"/>
          <w:szCs w:val="22"/>
        </w:rPr>
        <w:t>words:</w:t>
      </w:r>
      <w:r w:rsidRPr="006F634C">
        <w:rPr>
          <w:b/>
          <w:sz w:val="20"/>
          <w:szCs w:val="20"/>
        </w:rPr>
        <w:t xml:space="preserve"> </w:t>
      </w:r>
      <w:r w:rsidR="006F634C" w:rsidRPr="006F634C">
        <w:rPr>
          <w:sz w:val="20"/>
          <w:szCs w:val="20"/>
        </w:rPr>
        <w:t>Bone marrow biopsy;</w:t>
      </w:r>
      <w:r w:rsidR="006F634C" w:rsidRPr="006F634C">
        <w:rPr>
          <w:b/>
          <w:sz w:val="20"/>
          <w:szCs w:val="20"/>
        </w:rPr>
        <w:t xml:space="preserve"> </w:t>
      </w:r>
      <w:r w:rsidR="00793CC0">
        <w:rPr>
          <w:sz w:val="20"/>
          <w:szCs w:val="20"/>
        </w:rPr>
        <w:t>Covid-</w:t>
      </w:r>
      <w:r w:rsidR="00793CC0" w:rsidRPr="006F634C">
        <w:rPr>
          <w:sz w:val="20"/>
          <w:szCs w:val="20"/>
        </w:rPr>
        <w:t>19</w:t>
      </w:r>
      <w:r w:rsidRPr="006F634C">
        <w:rPr>
          <w:sz w:val="20"/>
          <w:szCs w:val="20"/>
        </w:rPr>
        <w:t>;</w:t>
      </w:r>
      <w:r w:rsidR="006F634C" w:rsidRPr="006F634C">
        <w:rPr>
          <w:sz w:val="20"/>
          <w:szCs w:val="20"/>
        </w:rPr>
        <w:t xml:space="preserve"> Immune response;</w:t>
      </w:r>
      <w:r w:rsidRPr="006F634C">
        <w:rPr>
          <w:sz w:val="20"/>
          <w:szCs w:val="20"/>
        </w:rPr>
        <w:t xml:space="preserve"> </w:t>
      </w:r>
      <w:r w:rsidR="006F634C" w:rsidRPr="006F634C">
        <w:rPr>
          <w:sz w:val="20"/>
          <w:szCs w:val="20"/>
        </w:rPr>
        <w:t xml:space="preserve">Polyclonal B cell lymphocytosis; </w:t>
      </w:r>
      <w:r w:rsidR="006702AF" w:rsidRPr="006F634C">
        <w:rPr>
          <w:sz w:val="20"/>
          <w:szCs w:val="20"/>
        </w:rPr>
        <w:t>Vaccination</w:t>
      </w:r>
    </w:p>
    <w:p w:rsidR="006702AF" w:rsidRPr="006F634C" w:rsidRDefault="006702AF" w:rsidP="0015047C">
      <w:pPr>
        <w:contextualSpacing/>
        <w:mirrorIndents/>
        <w:jc w:val="both"/>
        <w:rPr>
          <w:sz w:val="20"/>
          <w:szCs w:val="20"/>
        </w:rPr>
      </w:pPr>
    </w:p>
    <w:p w:rsidR="006702AF" w:rsidRPr="0033292A" w:rsidRDefault="006702AF" w:rsidP="0015047C">
      <w:pPr>
        <w:contextualSpacing/>
        <w:mirrorIndents/>
        <w:jc w:val="both"/>
        <w:rPr>
          <w:b/>
          <w:sz w:val="22"/>
          <w:szCs w:val="22"/>
        </w:rPr>
      </w:pPr>
      <w:r w:rsidRPr="0033292A">
        <w:rPr>
          <w:b/>
          <w:sz w:val="22"/>
          <w:szCs w:val="22"/>
        </w:rPr>
        <w:t>Introduction</w:t>
      </w:r>
    </w:p>
    <w:p w:rsidR="00560D88" w:rsidRPr="005148D6" w:rsidRDefault="00560D88" w:rsidP="0015047C">
      <w:pPr>
        <w:contextualSpacing/>
        <w:mirrorIndents/>
        <w:jc w:val="both"/>
        <w:rPr>
          <w:sz w:val="20"/>
          <w:szCs w:val="20"/>
        </w:rPr>
      </w:pPr>
    </w:p>
    <w:p w:rsidR="006702AF" w:rsidRDefault="006702AF" w:rsidP="0015047C">
      <w:pPr>
        <w:contextualSpacing/>
        <w:mirrorIndents/>
        <w:jc w:val="both"/>
        <w:rPr>
          <w:sz w:val="20"/>
          <w:szCs w:val="20"/>
        </w:rPr>
      </w:pPr>
      <w:r w:rsidRPr="006F634C">
        <w:rPr>
          <w:sz w:val="20"/>
          <w:szCs w:val="20"/>
        </w:rPr>
        <w:t>Polyclonal B cell lymphocytosis, when identified in bone marrow biopsies raises a broad differential diagnoses.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 differential diagnosis include</w:t>
      </w:r>
      <w:r w:rsidR="006E5DB9">
        <w:rPr>
          <w:sz w:val="20"/>
          <w:szCs w:val="20"/>
        </w:rPr>
        <w:t>s</w:t>
      </w:r>
      <w:bookmarkStart w:id="1" w:name="_GoBack"/>
      <w:bookmarkEnd w:id="1"/>
      <w:r w:rsidRPr="006F634C">
        <w:rPr>
          <w:sz w:val="20"/>
          <w:szCs w:val="20"/>
        </w:rPr>
        <w:t xml:space="preserve"> reactions to viral infections, particularly infectious mononucleosis and other chronic infections including mycobacterial infection, cat scratch disease, pertussis, brucellosis, as well as a variety of parasitic infestations.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Collagen vascular disease, chronic hypersensitivity and allergic reactions, including drug reactions, and other chronic inflammatory diseases may also result in a polyclonal lymphocytosis. There is also a condition of persistent polyclonal B cell lymphocytosis that </w:t>
      </w:r>
      <w:proofErr w:type="gramStart"/>
      <w:r w:rsidRPr="006F634C">
        <w:rPr>
          <w:sz w:val="20"/>
          <w:szCs w:val="20"/>
        </w:rPr>
        <w:t>has been described</w:t>
      </w:r>
      <w:proofErr w:type="gramEnd"/>
      <w:r w:rsidRPr="006F634C">
        <w:rPr>
          <w:sz w:val="20"/>
          <w:szCs w:val="20"/>
        </w:rPr>
        <w:t>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We reported a case of a patient with a diagnosis of diffuse large B-cell lymphoma, NOS who underwent a staging bone marrow biopsy.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Although the patient had no evidence for marrow involvement by lymphoma, a striking polyclonal re</w:t>
      </w:r>
      <w:r w:rsidR="00C40109">
        <w:rPr>
          <w:sz w:val="20"/>
          <w:szCs w:val="20"/>
        </w:rPr>
        <w:t xml:space="preserve">active B cell lymphocytosis </w:t>
      </w:r>
      <w:proofErr w:type="gramStart"/>
      <w:r w:rsidR="00C40109">
        <w:rPr>
          <w:sz w:val="20"/>
          <w:szCs w:val="20"/>
        </w:rPr>
        <w:t xml:space="preserve">was </w:t>
      </w:r>
      <w:r w:rsidRPr="006F634C">
        <w:rPr>
          <w:sz w:val="20"/>
          <w:szCs w:val="20"/>
        </w:rPr>
        <w:t>identified</w:t>
      </w:r>
      <w:proofErr w:type="gramEnd"/>
      <w:r w:rsidRPr="006F634C">
        <w:rPr>
          <w:sz w:val="20"/>
          <w:szCs w:val="20"/>
        </w:rPr>
        <w:t>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There appeared to be no distinct identifiable etiology for this reactive B </w:t>
      </w:r>
      <w:r w:rsidR="003479AA">
        <w:rPr>
          <w:sz w:val="20"/>
          <w:szCs w:val="20"/>
        </w:rPr>
        <w:t xml:space="preserve">cell lymphocytosis until it </w:t>
      </w:r>
      <w:proofErr w:type="gramStart"/>
      <w:r w:rsidR="003479AA">
        <w:rPr>
          <w:sz w:val="20"/>
          <w:szCs w:val="20"/>
        </w:rPr>
        <w:t xml:space="preserve">was </w:t>
      </w:r>
      <w:r w:rsidRPr="006F634C">
        <w:rPr>
          <w:sz w:val="20"/>
          <w:szCs w:val="20"/>
        </w:rPr>
        <w:t>discovered</w:t>
      </w:r>
      <w:proofErr w:type="gramEnd"/>
      <w:r w:rsidRPr="006F634C">
        <w:rPr>
          <w:sz w:val="20"/>
          <w:szCs w:val="20"/>
        </w:rPr>
        <w:t xml:space="preserve"> that the patient had a </w:t>
      </w:r>
      <w:r w:rsidR="00793CC0">
        <w:rPr>
          <w:sz w:val="20"/>
          <w:szCs w:val="20"/>
        </w:rPr>
        <w:t>Covid-</w:t>
      </w:r>
      <w:r w:rsidR="00793CC0" w:rsidRPr="006F634C">
        <w:rPr>
          <w:sz w:val="20"/>
          <w:szCs w:val="20"/>
        </w:rPr>
        <w:t>19</w:t>
      </w:r>
      <w:r w:rsidR="00793CC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vaccination 49 days prior to </w:t>
      </w:r>
      <w:r w:rsidR="00643C9C">
        <w:rPr>
          <w:sz w:val="20"/>
          <w:szCs w:val="20"/>
        </w:rPr>
        <w:t>the staging bone marrow biopsy.</w:t>
      </w:r>
    </w:p>
    <w:p w:rsidR="00643C9C" w:rsidRPr="006F634C" w:rsidRDefault="00643C9C" w:rsidP="0015047C">
      <w:pPr>
        <w:contextualSpacing/>
        <w:mirrorIndents/>
        <w:jc w:val="both"/>
        <w:rPr>
          <w:sz w:val="20"/>
          <w:szCs w:val="20"/>
        </w:rPr>
      </w:pPr>
    </w:p>
    <w:p w:rsidR="006702AF" w:rsidRPr="000A2B67" w:rsidRDefault="000A2B67" w:rsidP="0015047C">
      <w:pPr>
        <w:contextualSpacing/>
        <w:mirrorIndents/>
        <w:jc w:val="both"/>
        <w:rPr>
          <w:b/>
          <w:sz w:val="22"/>
          <w:szCs w:val="22"/>
        </w:rPr>
      </w:pPr>
      <w:r w:rsidRPr="000A2B67">
        <w:rPr>
          <w:b/>
          <w:sz w:val="22"/>
          <w:szCs w:val="22"/>
        </w:rPr>
        <w:t>Case R</w:t>
      </w:r>
      <w:r w:rsidR="005C0064" w:rsidRPr="000A2B67">
        <w:rPr>
          <w:b/>
          <w:sz w:val="22"/>
          <w:szCs w:val="22"/>
        </w:rPr>
        <w:t>eport</w:t>
      </w:r>
    </w:p>
    <w:p w:rsidR="005C0064" w:rsidRPr="006F634C" w:rsidRDefault="005C0064" w:rsidP="0015047C">
      <w:pPr>
        <w:contextualSpacing/>
        <w:mirrorIndents/>
        <w:jc w:val="both"/>
        <w:rPr>
          <w:b/>
          <w:sz w:val="20"/>
          <w:szCs w:val="20"/>
        </w:rPr>
      </w:pPr>
    </w:p>
    <w:p w:rsidR="00C64F5B" w:rsidRDefault="006702AF" w:rsidP="0015047C">
      <w:pPr>
        <w:contextualSpacing/>
        <w:mirrorIndents/>
        <w:jc w:val="both"/>
        <w:rPr>
          <w:sz w:val="20"/>
          <w:szCs w:val="20"/>
        </w:rPr>
      </w:pPr>
      <w:r w:rsidRPr="006F634C">
        <w:rPr>
          <w:sz w:val="20"/>
          <w:szCs w:val="20"/>
        </w:rPr>
        <w:t>A 40-year-old woman presented with pelvic pain.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A pelvic ultrasound examination demonstrated multiple smooth muscle tumors measuring up to 7 cm in size.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 patient underwent a hysterectomy with bilateral salpingectomy.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On pathologic examination, the smooth muscle tumors were involves by a diffuse large B-cell lymphoma, NOS.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An </w:t>
      </w:r>
      <w:r w:rsidRPr="00C64F5B">
        <w:rPr>
          <w:i/>
          <w:color w:val="FF0000"/>
          <w:sz w:val="20"/>
          <w:szCs w:val="20"/>
        </w:rPr>
        <w:t>in situ</w:t>
      </w:r>
      <w:r w:rsidRPr="006F634C">
        <w:rPr>
          <w:sz w:val="20"/>
          <w:szCs w:val="20"/>
        </w:rPr>
        <w:t xml:space="preserve"> hybridization study for EBV</w:t>
      </w:r>
      <w:r w:rsidR="004214DA" w:rsidRPr="006F634C">
        <w:rPr>
          <w:sz w:val="20"/>
          <w:szCs w:val="20"/>
        </w:rPr>
        <w:t xml:space="preserve"> </w:t>
      </w:r>
      <w:r w:rsidR="009876D6" w:rsidRPr="006F634C">
        <w:rPr>
          <w:sz w:val="20"/>
          <w:szCs w:val="20"/>
        </w:rPr>
        <w:t>(Epstein</w:t>
      </w:r>
      <w:r w:rsidR="007E00EC">
        <w:rPr>
          <w:sz w:val="20"/>
          <w:szCs w:val="20"/>
        </w:rPr>
        <w:t xml:space="preserve"> </w:t>
      </w:r>
      <w:r w:rsidR="009876D6" w:rsidRPr="006F634C">
        <w:rPr>
          <w:sz w:val="20"/>
          <w:szCs w:val="20"/>
        </w:rPr>
        <w:t>-</w:t>
      </w:r>
      <w:r w:rsidR="007E00EC">
        <w:rPr>
          <w:sz w:val="20"/>
          <w:szCs w:val="20"/>
        </w:rPr>
        <w:t xml:space="preserve"> </w:t>
      </w:r>
      <w:r w:rsidR="004214DA" w:rsidRPr="006F634C">
        <w:rPr>
          <w:sz w:val="20"/>
          <w:szCs w:val="20"/>
        </w:rPr>
        <w:t xml:space="preserve">Barr </w:t>
      </w:r>
      <w:proofErr w:type="gramStart"/>
      <w:r w:rsidR="004214DA" w:rsidRPr="006F634C">
        <w:rPr>
          <w:sz w:val="20"/>
          <w:szCs w:val="20"/>
        </w:rPr>
        <w:t>Virus</w:t>
      </w:r>
      <w:proofErr w:type="gramEnd"/>
      <w:r w:rsidR="004214DA" w:rsidRPr="006F634C">
        <w:rPr>
          <w:sz w:val="20"/>
          <w:szCs w:val="20"/>
        </w:rPr>
        <w:t>)</w:t>
      </w:r>
      <w:r w:rsidRPr="006F634C">
        <w:rPr>
          <w:sz w:val="20"/>
          <w:szCs w:val="20"/>
        </w:rPr>
        <w:t xml:space="preserve"> performed on the lymphoma was negative.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The lymphoma </w:t>
      </w:r>
      <w:proofErr w:type="gramStart"/>
      <w:r w:rsidRPr="006F634C">
        <w:rPr>
          <w:sz w:val="20"/>
          <w:szCs w:val="20"/>
        </w:rPr>
        <w:t>was found</w:t>
      </w:r>
      <w:proofErr w:type="gramEnd"/>
      <w:r w:rsidRPr="006F634C">
        <w:rPr>
          <w:sz w:val="20"/>
          <w:szCs w:val="20"/>
        </w:rPr>
        <w:t xml:space="preserve"> to be of the germinal center type and a double </w:t>
      </w:r>
      <w:proofErr w:type="spellStart"/>
      <w:r w:rsidRPr="006F634C">
        <w:rPr>
          <w:sz w:val="20"/>
          <w:szCs w:val="20"/>
        </w:rPr>
        <w:t>expressor</w:t>
      </w:r>
      <w:proofErr w:type="spellEnd"/>
      <w:r w:rsidRPr="006F634C">
        <w:rPr>
          <w:sz w:val="20"/>
          <w:szCs w:val="20"/>
        </w:rPr>
        <w:t xml:space="preserve"> by </w:t>
      </w:r>
      <w:proofErr w:type="spellStart"/>
      <w:r w:rsidRPr="006F634C">
        <w:rPr>
          <w:sz w:val="20"/>
          <w:szCs w:val="20"/>
        </w:rPr>
        <w:t>immunohistochemical</w:t>
      </w:r>
      <w:proofErr w:type="spellEnd"/>
      <w:r w:rsidRPr="006F634C">
        <w:rPr>
          <w:sz w:val="20"/>
          <w:szCs w:val="20"/>
        </w:rPr>
        <w:t xml:space="preserve"> stains with overexpression of B</w:t>
      </w:r>
      <w:r w:rsidR="009876D6" w:rsidRPr="006F634C">
        <w:rPr>
          <w:sz w:val="20"/>
          <w:szCs w:val="20"/>
        </w:rPr>
        <w:t>CL2</w:t>
      </w:r>
      <w:r w:rsidRPr="006F634C">
        <w:rPr>
          <w:sz w:val="20"/>
          <w:szCs w:val="20"/>
        </w:rPr>
        <w:t xml:space="preserve"> and </w:t>
      </w:r>
      <w:r w:rsidR="004214DA" w:rsidRPr="006F634C">
        <w:rPr>
          <w:sz w:val="20"/>
          <w:szCs w:val="20"/>
        </w:rPr>
        <w:t>MYC</w:t>
      </w:r>
      <w:r w:rsidRPr="006F634C">
        <w:rPr>
          <w:sz w:val="20"/>
          <w:szCs w:val="20"/>
        </w:rPr>
        <w:t>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However, high-grade B cell lymphoma FISH </w:t>
      </w:r>
      <w:r w:rsidR="004214DA" w:rsidRPr="006F634C">
        <w:rPr>
          <w:sz w:val="20"/>
          <w:szCs w:val="20"/>
        </w:rPr>
        <w:t xml:space="preserve">(fluorescence </w:t>
      </w:r>
      <w:r w:rsidR="004214DA" w:rsidRPr="00C64F5B">
        <w:rPr>
          <w:i/>
          <w:color w:val="FF0000"/>
          <w:sz w:val="20"/>
          <w:szCs w:val="20"/>
        </w:rPr>
        <w:t>in-situ</w:t>
      </w:r>
      <w:r w:rsidR="004214DA" w:rsidRPr="006F634C">
        <w:rPr>
          <w:sz w:val="20"/>
          <w:szCs w:val="20"/>
        </w:rPr>
        <w:t xml:space="preserve"> hybridization) </w:t>
      </w:r>
      <w:r w:rsidRPr="006F634C">
        <w:rPr>
          <w:sz w:val="20"/>
          <w:szCs w:val="20"/>
        </w:rPr>
        <w:t xml:space="preserve">studies showed no rearrangement of </w:t>
      </w:r>
      <w:r w:rsidR="009876D6" w:rsidRPr="006F634C">
        <w:rPr>
          <w:sz w:val="20"/>
          <w:szCs w:val="20"/>
        </w:rPr>
        <w:t>BCL2</w:t>
      </w:r>
      <w:r w:rsidRPr="006F634C">
        <w:rPr>
          <w:sz w:val="20"/>
          <w:szCs w:val="20"/>
        </w:rPr>
        <w:t xml:space="preserve">, </w:t>
      </w:r>
      <w:r w:rsidR="009876D6" w:rsidRPr="006F634C">
        <w:rPr>
          <w:sz w:val="20"/>
          <w:szCs w:val="20"/>
        </w:rPr>
        <w:t>BCL6</w:t>
      </w:r>
      <w:r w:rsidRPr="006F634C">
        <w:rPr>
          <w:sz w:val="20"/>
          <w:szCs w:val="20"/>
        </w:rPr>
        <w:t xml:space="preserve">, or </w:t>
      </w:r>
      <w:r w:rsidR="009876D6" w:rsidRPr="006F634C">
        <w:rPr>
          <w:sz w:val="20"/>
          <w:szCs w:val="20"/>
        </w:rPr>
        <w:t>MYC</w:t>
      </w:r>
      <w:r w:rsidRPr="006F634C">
        <w:rPr>
          <w:sz w:val="20"/>
          <w:szCs w:val="20"/>
        </w:rPr>
        <w:t>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In addition, there was no amplification of </w:t>
      </w:r>
      <w:r w:rsidR="009876D6" w:rsidRPr="006F634C">
        <w:rPr>
          <w:sz w:val="20"/>
          <w:szCs w:val="20"/>
        </w:rPr>
        <w:t>MYC</w:t>
      </w:r>
      <w:r w:rsidRPr="006F634C">
        <w:rPr>
          <w:sz w:val="20"/>
          <w:szCs w:val="20"/>
        </w:rPr>
        <w:t xml:space="preserve"> detected.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Therefore, there was no evidence for a double or triple hit lymphoma.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Translocation 8; 14 was not detected.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A PET CT </w:t>
      </w:r>
      <w:r w:rsidR="004214DA" w:rsidRPr="006F634C">
        <w:rPr>
          <w:sz w:val="20"/>
          <w:szCs w:val="20"/>
        </w:rPr>
        <w:t xml:space="preserve">(positron emission tomography-computed tomography) </w:t>
      </w:r>
      <w:r w:rsidRPr="006F634C">
        <w:rPr>
          <w:sz w:val="20"/>
          <w:szCs w:val="20"/>
        </w:rPr>
        <w:t xml:space="preserve">scan performed following the </w:t>
      </w:r>
      <w:r w:rsidRPr="006F634C">
        <w:rPr>
          <w:sz w:val="20"/>
          <w:szCs w:val="20"/>
        </w:rPr>
        <w:lastRenderedPageBreak/>
        <w:t xml:space="preserve">hysterectomy demonstrated right and left </w:t>
      </w:r>
      <w:proofErr w:type="spellStart"/>
      <w:r w:rsidRPr="006F634C">
        <w:rPr>
          <w:sz w:val="20"/>
          <w:szCs w:val="20"/>
        </w:rPr>
        <w:t>paratracheal</w:t>
      </w:r>
      <w:proofErr w:type="spellEnd"/>
      <w:r w:rsidRPr="006F634C">
        <w:rPr>
          <w:sz w:val="20"/>
          <w:szCs w:val="20"/>
        </w:rPr>
        <w:t xml:space="preserve"> lymphadenopathy with increased </w:t>
      </w:r>
      <w:r w:rsidR="004214DA" w:rsidRPr="006F634C">
        <w:rPr>
          <w:sz w:val="20"/>
          <w:szCs w:val="20"/>
        </w:rPr>
        <w:t xml:space="preserve">FDG (F-18 </w:t>
      </w:r>
      <w:proofErr w:type="spellStart"/>
      <w:r w:rsidR="004214DA" w:rsidRPr="006F634C">
        <w:rPr>
          <w:sz w:val="20"/>
          <w:szCs w:val="20"/>
        </w:rPr>
        <w:t>fluorodeoxyglucose</w:t>
      </w:r>
      <w:proofErr w:type="spellEnd"/>
      <w:r w:rsidR="004214DA" w:rsidRPr="006F634C">
        <w:rPr>
          <w:sz w:val="20"/>
          <w:szCs w:val="20"/>
        </w:rPr>
        <w:t xml:space="preserve">) </w:t>
      </w:r>
      <w:r w:rsidRPr="006F634C">
        <w:rPr>
          <w:sz w:val="20"/>
          <w:szCs w:val="20"/>
        </w:rPr>
        <w:t>uptake.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An 8 cm splenic mass </w:t>
      </w:r>
      <w:proofErr w:type="gramStart"/>
      <w:r w:rsidRPr="006F634C">
        <w:rPr>
          <w:sz w:val="20"/>
          <w:szCs w:val="20"/>
        </w:rPr>
        <w:t>was identified</w:t>
      </w:r>
      <w:proofErr w:type="gramEnd"/>
      <w:r w:rsidR="004214DA" w:rsidRPr="006F634C">
        <w:rPr>
          <w:sz w:val="20"/>
          <w:szCs w:val="20"/>
        </w:rPr>
        <w:t>,</w:t>
      </w:r>
      <w:r w:rsidRPr="006F634C">
        <w:rPr>
          <w:sz w:val="20"/>
          <w:szCs w:val="20"/>
        </w:rPr>
        <w:t xml:space="preserve"> </w:t>
      </w:r>
      <w:r w:rsidR="004214DA" w:rsidRPr="006F634C">
        <w:rPr>
          <w:sz w:val="20"/>
          <w:szCs w:val="20"/>
        </w:rPr>
        <w:t xml:space="preserve">also </w:t>
      </w:r>
      <w:r w:rsidRPr="006F634C">
        <w:rPr>
          <w:sz w:val="20"/>
          <w:szCs w:val="20"/>
        </w:rPr>
        <w:t xml:space="preserve">with </w:t>
      </w:r>
      <w:r w:rsidR="004214DA" w:rsidRPr="006F634C">
        <w:rPr>
          <w:sz w:val="20"/>
          <w:szCs w:val="20"/>
        </w:rPr>
        <w:t>increased FDG uptake</w:t>
      </w:r>
      <w:r w:rsidRPr="006F634C">
        <w:rPr>
          <w:sz w:val="20"/>
          <w:szCs w:val="20"/>
        </w:rPr>
        <w:t>.</w:t>
      </w:r>
    </w:p>
    <w:p w:rsidR="00C64F5B" w:rsidRDefault="00C64F5B" w:rsidP="0015047C">
      <w:pPr>
        <w:contextualSpacing/>
        <w:mirrorIndents/>
        <w:jc w:val="both"/>
        <w:rPr>
          <w:sz w:val="20"/>
          <w:szCs w:val="20"/>
        </w:rPr>
      </w:pPr>
    </w:p>
    <w:p w:rsidR="008D763C" w:rsidRPr="006F634C" w:rsidRDefault="006702AF" w:rsidP="0015047C">
      <w:pPr>
        <w:contextualSpacing/>
        <w:mirrorIndents/>
        <w:jc w:val="both"/>
        <w:rPr>
          <w:sz w:val="20"/>
          <w:szCs w:val="20"/>
        </w:rPr>
      </w:pPr>
      <w:r w:rsidRPr="006F634C">
        <w:rPr>
          <w:sz w:val="20"/>
          <w:szCs w:val="20"/>
        </w:rPr>
        <w:t>22 days following a hysterectomy specimen, the patient underwent a staging bone marrow biopsy.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In this interval, the patient felt well with minimal pain and had no fevers, night sweats, or weight loss.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 bone marrow biopsy showed no evidence of marrow involvement by lymphoma.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However, a marked lymphocytosis </w:t>
      </w:r>
      <w:proofErr w:type="gramStart"/>
      <w:r w:rsidRPr="006F634C">
        <w:rPr>
          <w:sz w:val="20"/>
          <w:szCs w:val="20"/>
        </w:rPr>
        <w:t>was identified</w:t>
      </w:r>
      <w:proofErr w:type="gramEnd"/>
      <w:r w:rsidRPr="006F634C">
        <w:rPr>
          <w:sz w:val="20"/>
          <w:szCs w:val="20"/>
        </w:rPr>
        <w:t>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Lymphocytes accounted for 31% of the nucleated cells on a </w:t>
      </w:r>
      <w:proofErr w:type="gramStart"/>
      <w:r w:rsidRPr="006F634C">
        <w:rPr>
          <w:sz w:val="20"/>
          <w:szCs w:val="20"/>
        </w:rPr>
        <w:t>500 cell</w:t>
      </w:r>
      <w:proofErr w:type="gramEnd"/>
      <w:r w:rsidRPr="006F634C">
        <w:rPr>
          <w:sz w:val="20"/>
          <w:szCs w:val="20"/>
        </w:rPr>
        <w:t xml:space="preserve"> count bone marrow differential cell count.</w:t>
      </w:r>
      <w:r w:rsidR="00775C40">
        <w:rPr>
          <w:sz w:val="20"/>
          <w:szCs w:val="20"/>
        </w:rPr>
        <w:t xml:space="preserve"> </w:t>
      </w:r>
      <w:proofErr w:type="spellStart"/>
      <w:r w:rsidRPr="006F634C">
        <w:rPr>
          <w:sz w:val="20"/>
          <w:szCs w:val="20"/>
        </w:rPr>
        <w:t>Immunohistochemical</w:t>
      </w:r>
      <w:proofErr w:type="spellEnd"/>
      <w:r w:rsidRPr="006F634C">
        <w:rPr>
          <w:sz w:val="20"/>
          <w:szCs w:val="20"/>
        </w:rPr>
        <w:t xml:space="preserve"> stains on the bone marrow also documented the lymphocytosis.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Lymphocytes account for an estimated 20% of the nucleated cells in the marrow.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 ratio of T</w:t>
      </w:r>
      <w:proofErr w:type="gramStart"/>
      <w:r w:rsidRPr="006F634C">
        <w:rPr>
          <w:sz w:val="20"/>
          <w:szCs w:val="20"/>
        </w:rPr>
        <w:t>:B</w:t>
      </w:r>
      <w:proofErr w:type="gramEnd"/>
      <w:r w:rsidRPr="006F634C">
        <w:rPr>
          <w:sz w:val="20"/>
          <w:szCs w:val="20"/>
        </w:rPr>
        <w:t xml:space="preserve"> cells was 1:3. Plasma cells </w:t>
      </w:r>
      <w:proofErr w:type="gramStart"/>
      <w:r w:rsidRPr="006F634C">
        <w:rPr>
          <w:sz w:val="20"/>
          <w:szCs w:val="20"/>
        </w:rPr>
        <w:t>were estimated</w:t>
      </w:r>
      <w:proofErr w:type="gramEnd"/>
      <w:r w:rsidRPr="006F634C">
        <w:rPr>
          <w:sz w:val="20"/>
          <w:szCs w:val="20"/>
        </w:rPr>
        <w:t xml:space="preserve"> at 5%.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The lymphocytes had a diffuse interstitial pattern without the formation of lymphocyte aggregates </w:t>
      </w:r>
      <w:r w:rsidR="00093D8A">
        <w:rPr>
          <w:sz w:val="20"/>
          <w:szCs w:val="20"/>
        </w:rPr>
        <w:t xml:space="preserve">or germinal centers. An EBV </w:t>
      </w:r>
      <w:r w:rsidR="00093D8A" w:rsidRPr="00093D8A">
        <w:rPr>
          <w:i/>
          <w:color w:val="FF0000"/>
          <w:sz w:val="20"/>
          <w:szCs w:val="20"/>
        </w:rPr>
        <w:t>in-</w:t>
      </w:r>
      <w:r w:rsidRPr="00093D8A">
        <w:rPr>
          <w:i/>
          <w:color w:val="FF0000"/>
          <w:sz w:val="20"/>
          <w:szCs w:val="20"/>
        </w:rPr>
        <w:t>situ</w:t>
      </w:r>
      <w:r w:rsidRPr="006F634C">
        <w:rPr>
          <w:sz w:val="20"/>
          <w:szCs w:val="20"/>
        </w:rPr>
        <w:t xml:space="preserve"> hybridization study performed on the bone marrow biopsy was negative.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Flow cytometry studies </w:t>
      </w:r>
      <w:proofErr w:type="gramStart"/>
      <w:r w:rsidRPr="006F634C">
        <w:rPr>
          <w:sz w:val="20"/>
          <w:szCs w:val="20"/>
        </w:rPr>
        <w:t>were performed and showed th</w:t>
      </w:r>
      <w:r w:rsidR="00E27A2B">
        <w:rPr>
          <w:sz w:val="20"/>
          <w:szCs w:val="20"/>
        </w:rPr>
        <w:t xml:space="preserve">e B cells to be polyclonal with </w:t>
      </w:r>
      <w:r w:rsidRPr="006F634C">
        <w:rPr>
          <w:sz w:val="20"/>
          <w:szCs w:val="20"/>
        </w:rPr>
        <w:t>a kappa</w:t>
      </w:r>
      <w:proofErr w:type="gramEnd"/>
      <w:r w:rsidRPr="006F634C">
        <w:rPr>
          <w:sz w:val="20"/>
          <w:szCs w:val="20"/>
        </w:rPr>
        <w:t>: lambda ratio of 1.8.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 complete blood count at the time of the bone marrow biopsy was unremarkable.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There was no evidence for a circulating lymphocytosis.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Bone marrow biopsy finding</w:t>
      </w:r>
      <w:r w:rsidR="008D763C" w:rsidRPr="006F634C">
        <w:rPr>
          <w:sz w:val="20"/>
          <w:szCs w:val="20"/>
        </w:rPr>
        <w:t xml:space="preserve">s </w:t>
      </w:r>
      <w:proofErr w:type="gramStart"/>
      <w:r w:rsidR="008D763C" w:rsidRPr="006F634C">
        <w:rPr>
          <w:sz w:val="20"/>
          <w:szCs w:val="20"/>
        </w:rPr>
        <w:t>are illustrated</w:t>
      </w:r>
      <w:proofErr w:type="gramEnd"/>
      <w:r w:rsidR="008D763C" w:rsidRPr="006F634C">
        <w:rPr>
          <w:sz w:val="20"/>
          <w:szCs w:val="20"/>
        </w:rPr>
        <w:t xml:space="preserve"> in </w:t>
      </w:r>
      <w:r w:rsidR="00DD6E80" w:rsidRPr="00DD6E80">
        <w:rPr>
          <w:color w:val="FF0000"/>
          <w:sz w:val="20"/>
          <w:szCs w:val="20"/>
        </w:rPr>
        <w:t>(</w:t>
      </w:r>
      <w:r w:rsidR="008D763C" w:rsidRPr="00DD6E80">
        <w:rPr>
          <w:color w:val="FF0000"/>
          <w:sz w:val="20"/>
          <w:szCs w:val="20"/>
        </w:rPr>
        <w:t>Figure 1</w:t>
      </w:r>
      <w:r w:rsidR="00DD6E80" w:rsidRPr="00DD6E80">
        <w:rPr>
          <w:color w:val="FF0000"/>
          <w:sz w:val="20"/>
          <w:szCs w:val="20"/>
        </w:rPr>
        <w:t>)</w:t>
      </w:r>
      <w:r w:rsidR="008D763C" w:rsidRPr="006F634C">
        <w:rPr>
          <w:sz w:val="20"/>
          <w:szCs w:val="20"/>
        </w:rPr>
        <w:t>.</w:t>
      </w:r>
    </w:p>
    <w:p w:rsidR="008D763C" w:rsidRPr="006F634C" w:rsidRDefault="008D763C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</w:p>
    <w:p w:rsidR="008D763C" w:rsidRPr="006F634C" w:rsidRDefault="008D763C" w:rsidP="006C05DE">
      <w:pPr>
        <w:contextualSpacing/>
        <w:mirrorIndents/>
        <w:jc w:val="center"/>
        <w:rPr>
          <w:sz w:val="20"/>
          <w:szCs w:val="20"/>
        </w:rPr>
      </w:pPr>
      <w:r w:rsidRPr="006F634C">
        <w:rPr>
          <w:noProof/>
          <w:sz w:val="20"/>
          <w:szCs w:val="20"/>
        </w:rPr>
        <w:drawing>
          <wp:inline distT="0" distB="0" distL="0" distR="0" wp14:anchorId="3CFF9D59" wp14:editId="35442FA8">
            <wp:extent cx="5017445" cy="2490717"/>
            <wp:effectExtent l="0" t="0" r="0" b="5080"/>
            <wp:docPr id="1" name="Picture 1" descr="D:\Journals All\1. Columbus Journal of Case Reports\Articles\CJCR-2021-10\Original article\Figure 1 BM bio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urnals All\1. Columbus Journal of Case Reports\Articles\CJCR-2021-10\Original article\Figure 1 BM biop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99" cy="24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66" w:rsidRPr="006F634C" w:rsidRDefault="00812B66" w:rsidP="0015047C">
      <w:pPr>
        <w:contextualSpacing/>
        <w:mirrorIndents/>
        <w:jc w:val="both"/>
        <w:rPr>
          <w:sz w:val="20"/>
          <w:szCs w:val="20"/>
        </w:rPr>
      </w:pPr>
    </w:p>
    <w:p w:rsidR="00812B66" w:rsidRDefault="00812B66" w:rsidP="0015047C">
      <w:pPr>
        <w:contextualSpacing/>
        <w:mirrorIndents/>
        <w:jc w:val="both"/>
        <w:rPr>
          <w:sz w:val="20"/>
          <w:szCs w:val="20"/>
        </w:rPr>
      </w:pPr>
      <w:r w:rsidRPr="00301BD4">
        <w:rPr>
          <w:b/>
          <w:sz w:val="20"/>
          <w:szCs w:val="20"/>
        </w:rPr>
        <w:t>Figure 1: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Photomicrographs of bone marrow biopsy.</w:t>
      </w:r>
      <w:r w:rsidR="00AF764B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A) Bone marrow with active hematopoiesis and without overt evidence of lymphoid infilt</w:t>
      </w:r>
      <w:r w:rsidR="009876D6" w:rsidRPr="006F634C">
        <w:rPr>
          <w:sz w:val="20"/>
          <w:szCs w:val="20"/>
        </w:rPr>
        <w:t>rate.</w:t>
      </w:r>
      <w:r w:rsidR="00775C40">
        <w:rPr>
          <w:sz w:val="20"/>
          <w:szCs w:val="20"/>
        </w:rPr>
        <w:t xml:space="preserve"> </w:t>
      </w:r>
      <w:r w:rsidR="009876D6" w:rsidRPr="006F634C">
        <w:rPr>
          <w:sz w:val="20"/>
          <w:szCs w:val="20"/>
        </w:rPr>
        <w:t xml:space="preserve">(Hematoxylin and Eosin; </w:t>
      </w:r>
      <w:r w:rsidRPr="006F634C">
        <w:rPr>
          <w:sz w:val="20"/>
          <w:szCs w:val="20"/>
        </w:rPr>
        <w:t>100 x)</w:t>
      </w:r>
      <w:r w:rsidR="00AF764B">
        <w:rPr>
          <w:sz w:val="20"/>
          <w:szCs w:val="20"/>
        </w:rPr>
        <w:t xml:space="preserve">. </w:t>
      </w:r>
      <w:r w:rsidR="004214DA" w:rsidRPr="006F634C">
        <w:rPr>
          <w:sz w:val="20"/>
          <w:szCs w:val="20"/>
        </w:rPr>
        <w:t>B) CD</w:t>
      </w:r>
      <w:r w:rsidRPr="006F634C">
        <w:rPr>
          <w:sz w:val="20"/>
          <w:szCs w:val="20"/>
        </w:rPr>
        <w:t>3 immunohistochemistry stain with a normal numbe</w:t>
      </w:r>
      <w:r w:rsidR="004214DA" w:rsidRPr="006F634C">
        <w:rPr>
          <w:sz w:val="20"/>
          <w:szCs w:val="20"/>
        </w:rPr>
        <w:t>r of interstitial T cells.</w:t>
      </w:r>
      <w:r w:rsidR="00775C40">
        <w:rPr>
          <w:sz w:val="20"/>
          <w:szCs w:val="20"/>
        </w:rPr>
        <w:t xml:space="preserve"> </w:t>
      </w:r>
      <w:r w:rsidR="004214DA" w:rsidRPr="006F634C">
        <w:rPr>
          <w:sz w:val="20"/>
          <w:szCs w:val="20"/>
        </w:rPr>
        <w:t>(CD</w:t>
      </w:r>
      <w:r w:rsidRPr="006F634C">
        <w:rPr>
          <w:sz w:val="20"/>
          <w:szCs w:val="20"/>
        </w:rPr>
        <w:t xml:space="preserve">3 </w:t>
      </w:r>
      <w:proofErr w:type="spellStart"/>
      <w:r w:rsidRPr="006F634C">
        <w:rPr>
          <w:sz w:val="20"/>
          <w:szCs w:val="20"/>
        </w:rPr>
        <w:t>immunohistochemical</w:t>
      </w:r>
      <w:proofErr w:type="spellEnd"/>
      <w:r w:rsidRPr="006F634C">
        <w:rPr>
          <w:sz w:val="20"/>
          <w:szCs w:val="20"/>
        </w:rPr>
        <w:t xml:space="preserve"> stain, 200 x)</w:t>
      </w:r>
      <w:r w:rsidR="00AF764B">
        <w:rPr>
          <w:sz w:val="20"/>
          <w:szCs w:val="20"/>
        </w:rPr>
        <w:t xml:space="preserve">. </w:t>
      </w:r>
      <w:r w:rsidR="004214DA" w:rsidRPr="006F634C">
        <w:rPr>
          <w:sz w:val="20"/>
          <w:szCs w:val="20"/>
        </w:rPr>
        <w:t>C) CD</w:t>
      </w:r>
      <w:r w:rsidRPr="006F634C">
        <w:rPr>
          <w:sz w:val="20"/>
          <w:szCs w:val="20"/>
        </w:rPr>
        <w:t>20 immunohistochemistry stain with an abnormal increase in interstitial B cells.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(CD20 </w:t>
      </w:r>
      <w:proofErr w:type="spellStart"/>
      <w:r w:rsidRPr="006F634C">
        <w:rPr>
          <w:sz w:val="20"/>
          <w:szCs w:val="20"/>
        </w:rPr>
        <w:t>immunohistochemical</w:t>
      </w:r>
      <w:proofErr w:type="spellEnd"/>
      <w:r w:rsidRPr="006F634C">
        <w:rPr>
          <w:sz w:val="20"/>
          <w:szCs w:val="20"/>
        </w:rPr>
        <w:t xml:space="preserve"> stain, 200 x)</w:t>
      </w:r>
      <w:r w:rsidR="00AF764B">
        <w:rPr>
          <w:sz w:val="20"/>
          <w:szCs w:val="20"/>
        </w:rPr>
        <w:t xml:space="preserve">. </w:t>
      </w:r>
      <w:r w:rsidR="004214DA" w:rsidRPr="006F634C">
        <w:rPr>
          <w:sz w:val="20"/>
          <w:szCs w:val="20"/>
        </w:rPr>
        <w:t>D) PAX</w:t>
      </w:r>
      <w:r w:rsidRPr="006F634C">
        <w:rPr>
          <w:sz w:val="20"/>
          <w:szCs w:val="20"/>
        </w:rPr>
        <w:t>5 immunohistochemistry stain confirming an abnormal increas</w:t>
      </w:r>
      <w:r w:rsidR="004214DA" w:rsidRPr="006F634C">
        <w:rPr>
          <w:sz w:val="20"/>
          <w:szCs w:val="20"/>
        </w:rPr>
        <w:t>e in interstitial B cells.</w:t>
      </w:r>
      <w:r w:rsidR="00775C40">
        <w:rPr>
          <w:sz w:val="20"/>
          <w:szCs w:val="20"/>
        </w:rPr>
        <w:t xml:space="preserve"> </w:t>
      </w:r>
      <w:r w:rsidR="004214DA" w:rsidRPr="006F634C">
        <w:rPr>
          <w:sz w:val="20"/>
          <w:szCs w:val="20"/>
        </w:rPr>
        <w:t>(CD</w:t>
      </w:r>
      <w:r w:rsidRPr="006F634C">
        <w:rPr>
          <w:sz w:val="20"/>
          <w:szCs w:val="20"/>
        </w:rPr>
        <w:t xml:space="preserve">20 </w:t>
      </w:r>
      <w:proofErr w:type="spellStart"/>
      <w:r w:rsidRPr="006F634C">
        <w:rPr>
          <w:sz w:val="20"/>
          <w:szCs w:val="20"/>
        </w:rPr>
        <w:t>immunohistochemical</w:t>
      </w:r>
      <w:proofErr w:type="spellEnd"/>
      <w:r w:rsidRPr="006F634C">
        <w:rPr>
          <w:sz w:val="20"/>
          <w:szCs w:val="20"/>
        </w:rPr>
        <w:t xml:space="preserve"> stain, 200 x)</w:t>
      </w:r>
      <w:r w:rsidR="00AF764B">
        <w:rPr>
          <w:sz w:val="20"/>
          <w:szCs w:val="20"/>
        </w:rPr>
        <w:t xml:space="preserve">. </w:t>
      </w:r>
      <w:r w:rsidRPr="006F634C">
        <w:rPr>
          <w:sz w:val="20"/>
          <w:szCs w:val="20"/>
        </w:rPr>
        <w:t>E) IgM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>immunohistochemistry stain showing positive stainin</w:t>
      </w:r>
      <w:r w:rsidR="004214DA" w:rsidRPr="006F634C">
        <w:rPr>
          <w:sz w:val="20"/>
          <w:szCs w:val="20"/>
        </w:rPr>
        <w:t>g of interstitial B cells.</w:t>
      </w:r>
      <w:r w:rsidR="00775C40">
        <w:rPr>
          <w:sz w:val="20"/>
          <w:szCs w:val="20"/>
        </w:rPr>
        <w:t xml:space="preserve"> </w:t>
      </w:r>
      <w:r w:rsidR="004214DA" w:rsidRPr="006F634C">
        <w:rPr>
          <w:sz w:val="20"/>
          <w:szCs w:val="20"/>
        </w:rPr>
        <w:t>(Ig</w:t>
      </w:r>
      <w:r w:rsidRPr="006F634C">
        <w:rPr>
          <w:sz w:val="20"/>
          <w:szCs w:val="20"/>
        </w:rPr>
        <w:t>M</w:t>
      </w:r>
      <w:r w:rsidR="00775C40">
        <w:rPr>
          <w:sz w:val="20"/>
          <w:szCs w:val="20"/>
        </w:rPr>
        <w:t xml:space="preserve"> </w:t>
      </w:r>
      <w:proofErr w:type="spellStart"/>
      <w:r w:rsidRPr="006F634C">
        <w:rPr>
          <w:sz w:val="20"/>
          <w:szCs w:val="20"/>
        </w:rPr>
        <w:t>immunohistochemical</w:t>
      </w:r>
      <w:proofErr w:type="spellEnd"/>
      <w:r w:rsidRPr="006F634C">
        <w:rPr>
          <w:sz w:val="20"/>
          <w:szCs w:val="20"/>
        </w:rPr>
        <w:t xml:space="preserve"> stain, 400 x)</w:t>
      </w:r>
      <w:r w:rsidR="00AF764B">
        <w:rPr>
          <w:sz w:val="20"/>
          <w:szCs w:val="20"/>
        </w:rPr>
        <w:t xml:space="preserve">. </w:t>
      </w:r>
      <w:r w:rsidRPr="006F634C">
        <w:rPr>
          <w:sz w:val="20"/>
          <w:szCs w:val="20"/>
        </w:rPr>
        <w:t>F) CD138 immunohistochemistr</w:t>
      </w:r>
      <w:r w:rsidR="009876D6" w:rsidRPr="006F634C">
        <w:rPr>
          <w:sz w:val="20"/>
          <w:szCs w:val="20"/>
        </w:rPr>
        <w:t xml:space="preserve">y stain with normal numbers of </w:t>
      </w:r>
      <w:r w:rsidRPr="006F634C">
        <w:rPr>
          <w:sz w:val="20"/>
          <w:szCs w:val="20"/>
        </w:rPr>
        <w:t>interstitial plasma cells.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(CD138 </w:t>
      </w:r>
      <w:proofErr w:type="spellStart"/>
      <w:r w:rsidRPr="006F634C">
        <w:rPr>
          <w:sz w:val="20"/>
          <w:szCs w:val="20"/>
        </w:rPr>
        <w:t>immunohistochemical</w:t>
      </w:r>
      <w:proofErr w:type="spellEnd"/>
      <w:r w:rsidRPr="006F634C">
        <w:rPr>
          <w:sz w:val="20"/>
          <w:szCs w:val="20"/>
        </w:rPr>
        <w:t xml:space="preserve"> stain, 200 x)</w:t>
      </w:r>
      <w:r w:rsidR="009B1BCD">
        <w:rPr>
          <w:sz w:val="20"/>
          <w:szCs w:val="20"/>
        </w:rPr>
        <w:t>.</w:t>
      </w:r>
    </w:p>
    <w:p w:rsidR="00812B66" w:rsidRPr="006F634C" w:rsidRDefault="00812B66" w:rsidP="0015047C">
      <w:pPr>
        <w:contextualSpacing/>
        <w:mirrorIndents/>
        <w:jc w:val="both"/>
        <w:rPr>
          <w:sz w:val="20"/>
          <w:szCs w:val="20"/>
        </w:rPr>
      </w:pP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  <w:r w:rsidRPr="006F634C">
        <w:rPr>
          <w:rFonts w:ascii="Times New Roman" w:hAnsi="Times New Roman"/>
        </w:rPr>
        <w:t xml:space="preserve">3 days following the bone marrow </w:t>
      </w:r>
      <w:proofErr w:type="gramStart"/>
      <w:r w:rsidRPr="006F634C">
        <w:rPr>
          <w:rFonts w:ascii="Times New Roman" w:hAnsi="Times New Roman"/>
        </w:rPr>
        <w:t>biopsy</w:t>
      </w:r>
      <w:proofErr w:type="gramEnd"/>
      <w:r w:rsidRPr="006F634C">
        <w:rPr>
          <w:rFonts w:ascii="Times New Roman" w:hAnsi="Times New Roman"/>
        </w:rPr>
        <w:t xml:space="preserve"> the patient developed transient fever and was admitted to the hospital.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The complete blood count was unremarkable without lymphocytosis, neutrophilic leukocytosis or left shift.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 xml:space="preserve">A </w:t>
      </w:r>
      <w:proofErr w:type="spellStart"/>
      <w:r w:rsidRPr="006F634C">
        <w:rPr>
          <w:rFonts w:ascii="Times New Roman" w:hAnsi="Times New Roman"/>
        </w:rPr>
        <w:t>procalcitonin</w:t>
      </w:r>
      <w:proofErr w:type="spellEnd"/>
      <w:r w:rsidRPr="006F634C">
        <w:rPr>
          <w:rFonts w:ascii="Times New Roman" w:hAnsi="Times New Roman"/>
        </w:rPr>
        <w:t xml:space="preserve"> level was undetectable.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A respiratory panel PCR</w:t>
      </w:r>
      <w:r w:rsidR="00B744C1" w:rsidRPr="006F634C">
        <w:rPr>
          <w:rFonts w:ascii="Times New Roman" w:hAnsi="Times New Roman"/>
        </w:rPr>
        <w:t xml:space="preserve"> (polymerase chain reaction)</w:t>
      </w:r>
      <w:r w:rsidRPr="006F634C">
        <w:rPr>
          <w:rFonts w:ascii="Times New Roman" w:hAnsi="Times New Roman"/>
        </w:rPr>
        <w:t xml:space="preserve"> study including studies for adenovirus, corona viruses (229 HE, HKU1, NL63, OC43, and SARS Co-2), </w:t>
      </w:r>
      <w:r w:rsidRPr="00281596">
        <w:rPr>
          <w:rFonts w:ascii="Times New Roman" w:hAnsi="Times New Roman"/>
        </w:rPr>
        <w:t>human</w:t>
      </w:r>
      <w:r w:rsidRPr="00281596">
        <w:rPr>
          <w:rFonts w:ascii="Times New Roman" w:hAnsi="Times New Roman"/>
          <w:i/>
        </w:rPr>
        <w:t xml:space="preserve"> </w:t>
      </w:r>
      <w:proofErr w:type="spellStart"/>
      <w:r w:rsidRPr="00CE134A">
        <w:rPr>
          <w:rFonts w:ascii="Times New Roman" w:hAnsi="Times New Roman"/>
          <w:i/>
          <w:color w:val="FF0000"/>
        </w:rPr>
        <w:t>metapneumovirus</w:t>
      </w:r>
      <w:proofErr w:type="spellEnd"/>
      <w:r w:rsidRPr="006F634C">
        <w:rPr>
          <w:rFonts w:ascii="Times New Roman" w:hAnsi="Times New Roman"/>
        </w:rPr>
        <w:t xml:space="preserve">, human </w:t>
      </w:r>
      <w:r w:rsidRPr="00281596">
        <w:rPr>
          <w:rFonts w:ascii="Times New Roman" w:hAnsi="Times New Roman"/>
          <w:i/>
          <w:color w:val="FF0000"/>
        </w:rPr>
        <w:t>rhinovirus</w:t>
      </w:r>
      <w:r w:rsidRPr="006F634C">
        <w:rPr>
          <w:rFonts w:ascii="Times New Roman" w:hAnsi="Times New Roman"/>
        </w:rPr>
        <w:t>/enterovirus, influenza A an</w:t>
      </w:r>
      <w:r w:rsidR="006F634C">
        <w:rPr>
          <w:rFonts w:ascii="Times New Roman" w:hAnsi="Times New Roman"/>
        </w:rPr>
        <w:t xml:space="preserve">d B, parainfluenza viruses </w:t>
      </w:r>
      <w:r w:rsidR="000707A4">
        <w:rPr>
          <w:rFonts w:ascii="Times New Roman" w:hAnsi="Times New Roman"/>
          <w:color w:val="FF0000"/>
        </w:rPr>
        <w:t>[1-</w:t>
      </w:r>
      <w:r w:rsidR="006F634C" w:rsidRPr="006F634C">
        <w:rPr>
          <w:rFonts w:ascii="Times New Roman" w:hAnsi="Times New Roman"/>
          <w:color w:val="FF0000"/>
        </w:rPr>
        <w:t>4]</w:t>
      </w:r>
      <w:r w:rsidRPr="006F634C">
        <w:rPr>
          <w:rFonts w:ascii="Times New Roman" w:hAnsi="Times New Roman"/>
        </w:rPr>
        <w:t xml:space="preserve">, respiratory syncytial virus, </w:t>
      </w:r>
      <w:proofErr w:type="spellStart"/>
      <w:r w:rsidRPr="00FF031D">
        <w:rPr>
          <w:rFonts w:ascii="Times New Roman" w:hAnsi="Times New Roman"/>
          <w:i/>
          <w:color w:val="FF0000"/>
        </w:rPr>
        <w:t>Bordetella</w:t>
      </w:r>
      <w:proofErr w:type="spellEnd"/>
      <w:r w:rsidRPr="00FF031D">
        <w:rPr>
          <w:rFonts w:ascii="Times New Roman" w:hAnsi="Times New Roman"/>
          <w:i/>
          <w:color w:val="FF0000"/>
        </w:rPr>
        <w:t xml:space="preserve"> pertussis</w:t>
      </w:r>
      <w:r w:rsidRPr="006F634C">
        <w:rPr>
          <w:rFonts w:ascii="Times New Roman" w:hAnsi="Times New Roman"/>
        </w:rPr>
        <w:t xml:space="preserve">, </w:t>
      </w:r>
      <w:proofErr w:type="spellStart"/>
      <w:r w:rsidRPr="00D75968">
        <w:rPr>
          <w:rFonts w:ascii="Times New Roman" w:hAnsi="Times New Roman"/>
          <w:i/>
          <w:color w:val="FF0000"/>
        </w:rPr>
        <w:t>Bordetella</w:t>
      </w:r>
      <w:proofErr w:type="spellEnd"/>
      <w:r w:rsidRPr="00D75968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75968">
        <w:rPr>
          <w:rFonts w:ascii="Times New Roman" w:hAnsi="Times New Roman"/>
          <w:i/>
          <w:color w:val="FF0000"/>
        </w:rPr>
        <w:t>parapertussis</w:t>
      </w:r>
      <w:proofErr w:type="spellEnd"/>
      <w:r w:rsidRPr="006F634C">
        <w:rPr>
          <w:rFonts w:ascii="Times New Roman" w:hAnsi="Times New Roman"/>
        </w:rPr>
        <w:t xml:space="preserve">, </w:t>
      </w:r>
      <w:proofErr w:type="spellStart"/>
      <w:r w:rsidRPr="007D0043">
        <w:rPr>
          <w:rFonts w:ascii="Times New Roman" w:hAnsi="Times New Roman"/>
          <w:i/>
          <w:color w:val="FF0000"/>
        </w:rPr>
        <w:t>chlamydophila</w:t>
      </w:r>
      <w:proofErr w:type="spellEnd"/>
      <w:r w:rsidRPr="007D0043">
        <w:rPr>
          <w:rFonts w:ascii="Times New Roman" w:hAnsi="Times New Roman"/>
          <w:i/>
          <w:color w:val="FF0000"/>
        </w:rPr>
        <w:t xml:space="preserve"> pneumonia</w:t>
      </w:r>
      <w:r w:rsidRPr="006F634C">
        <w:rPr>
          <w:rFonts w:ascii="Times New Roman" w:hAnsi="Times New Roman"/>
        </w:rPr>
        <w:t xml:space="preserve">, and </w:t>
      </w:r>
      <w:r w:rsidRPr="00306C61">
        <w:rPr>
          <w:rFonts w:ascii="Times New Roman" w:hAnsi="Times New Roman"/>
          <w:i/>
          <w:color w:val="FF0000"/>
        </w:rPr>
        <w:t>mycoplasma pneumonia</w:t>
      </w:r>
      <w:r w:rsidRPr="006F634C">
        <w:rPr>
          <w:rFonts w:ascii="Times New Roman" w:hAnsi="Times New Roman"/>
        </w:rPr>
        <w:t xml:space="preserve"> was negative. Blood cultures were negative and the patient </w:t>
      </w:r>
      <w:proofErr w:type="spellStart"/>
      <w:r w:rsidRPr="006F634C">
        <w:rPr>
          <w:rFonts w:ascii="Times New Roman" w:hAnsi="Times New Roman"/>
        </w:rPr>
        <w:t>defervesced</w:t>
      </w:r>
      <w:proofErr w:type="spellEnd"/>
      <w:r w:rsidRPr="006F634C">
        <w:rPr>
          <w:rFonts w:ascii="Times New Roman" w:hAnsi="Times New Roman"/>
        </w:rPr>
        <w:t xml:space="preserve"> on admission and </w:t>
      </w:r>
      <w:proofErr w:type="gramStart"/>
      <w:r w:rsidRPr="006F634C">
        <w:rPr>
          <w:rFonts w:ascii="Times New Roman" w:hAnsi="Times New Roman"/>
        </w:rPr>
        <w:t>was discharged</w:t>
      </w:r>
      <w:proofErr w:type="gramEnd"/>
      <w:r w:rsidRPr="006F634C">
        <w:rPr>
          <w:rFonts w:ascii="Times New Roman" w:hAnsi="Times New Roman"/>
        </w:rPr>
        <w:t xml:space="preserve"> on hospital day 2 feeling well. The patient was taking no medications other than an occasional acetaminophen or ibuprofen for pain.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 xml:space="preserve">The etiology for the reactive polyclonal B cell lymphocytosis remained a mystery until it </w:t>
      </w:r>
      <w:proofErr w:type="gramStart"/>
      <w:r w:rsidRPr="006F634C">
        <w:rPr>
          <w:rFonts w:ascii="Times New Roman" w:hAnsi="Times New Roman"/>
        </w:rPr>
        <w:t>was recognized</w:t>
      </w:r>
      <w:proofErr w:type="gramEnd"/>
      <w:r w:rsidRPr="006F634C">
        <w:rPr>
          <w:rFonts w:ascii="Times New Roman" w:hAnsi="Times New Roman"/>
        </w:rPr>
        <w:t xml:space="preserve"> that the patient was a</w:t>
      </w:r>
      <w:r w:rsidR="004214DA" w:rsidRPr="006F634C">
        <w:rPr>
          <w:rFonts w:ascii="Times New Roman" w:hAnsi="Times New Roman"/>
        </w:rPr>
        <w:t>n Ad26.COV2.S</w:t>
      </w:r>
      <w:r w:rsidRPr="006F634C">
        <w:rPr>
          <w:rFonts w:ascii="Times New Roman" w:hAnsi="Times New Roman"/>
        </w:rPr>
        <w:t xml:space="preserve"> Johnson and Johnson Covid-19 vaccine recipient 49 days prior to the bone marrow biopsy.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 xml:space="preserve">She had </w:t>
      </w:r>
      <w:proofErr w:type="gramStart"/>
      <w:r w:rsidRPr="006F634C">
        <w:rPr>
          <w:rFonts w:ascii="Times New Roman" w:hAnsi="Times New Roman"/>
        </w:rPr>
        <w:t>no untoward</w:t>
      </w:r>
      <w:proofErr w:type="gramEnd"/>
      <w:r w:rsidRPr="006F634C">
        <w:rPr>
          <w:rFonts w:ascii="Times New Roman" w:hAnsi="Times New Roman"/>
        </w:rPr>
        <w:t xml:space="preserve"> reaction to the vaccination.</w:t>
      </w: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</w:p>
    <w:p w:rsidR="006702AF" w:rsidRPr="005776EE" w:rsidRDefault="00A43FDD" w:rsidP="0015047C">
      <w:pPr>
        <w:pStyle w:val="ELC10pt"/>
        <w:contextualSpacing/>
        <w:mirrorIndents/>
        <w:jc w:val="both"/>
        <w:rPr>
          <w:rFonts w:ascii="Times New Roman" w:hAnsi="Times New Roman"/>
          <w:b/>
          <w:sz w:val="22"/>
          <w:szCs w:val="22"/>
        </w:rPr>
      </w:pPr>
      <w:r w:rsidRPr="005776EE">
        <w:rPr>
          <w:rFonts w:ascii="Times New Roman" w:hAnsi="Times New Roman"/>
          <w:b/>
          <w:sz w:val="22"/>
          <w:szCs w:val="22"/>
        </w:rPr>
        <w:t>Discussion</w:t>
      </w: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  <w:r w:rsidRPr="006F634C">
        <w:rPr>
          <w:rFonts w:ascii="Times New Roman" w:hAnsi="Times New Roman"/>
        </w:rPr>
        <w:lastRenderedPageBreak/>
        <w:t>Reactive lymphocytosis has a broad differential diagnosis.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Persistent pol</w:t>
      </w:r>
      <w:r w:rsidR="006F634C">
        <w:rPr>
          <w:rFonts w:ascii="Times New Roman" w:hAnsi="Times New Roman"/>
        </w:rPr>
        <w:t xml:space="preserve">yclonal B-cell lymphocytosis </w:t>
      </w:r>
      <w:r w:rsidR="006F634C" w:rsidRPr="006F634C">
        <w:rPr>
          <w:rFonts w:ascii="Times New Roman" w:hAnsi="Times New Roman"/>
          <w:color w:val="FF0000"/>
        </w:rPr>
        <w:t>[1]</w:t>
      </w:r>
      <w:r w:rsidRPr="006F634C">
        <w:rPr>
          <w:rFonts w:ascii="Times New Roman" w:hAnsi="Times New Roman"/>
        </w:rPr>
        <w:t xml:space="preserve"> is a benign, generally indolent </w:t>
      </w:r>
      <w:r w:rsidR="00694564" w:rsidRPr="006F634C">
        <w:rPr>
          <w:rFonts w:ascii="Times New Roman" w:hAnsi="Times New Roman"/>
        </w:rPr>
        <w:t>disease, which</w:t>
      </w:r>
      <w:r w:rsidRPr="006F634C">
        <w:rPr>
          <w:rFonts w:ascii="Times New Roman" w:hAnsi="Times New Roman"/>
        </w:rPr>
        <w:t xml:space="preserve"> </w:t>
      </w:r>
      <w:proofErr w:type="gramStart"/>
      <w:r w:rsidRPr="006F634C">
        <w:rPr>
          <w:rFonts w:ascii="Times New Roman" w:hAnsi="Times New Roman"/>
        </w:rPr>
        <w:t>is reported</w:t>
      </w:r>
      <w:proofErr w:type="gramEnd"/>
      <w:r w:rsidRPr="006F634C">
        <w:rPr>
          <w:rFonts w:ascii="Times New Roman" w:hAnsi="Times New Roman"/>
        </w:rPr>
        <w:t xml:space="preserve"> to occur most often in middle-aged women who are cigarette smokers.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Although some cases have had an association with Epstein-Barr virus infection, in most cases there is no clear-cut etiologic factor.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 xml:space="preserve">A characteristic finding in this disease is the presence of circulating </w:t>
      </w:r>
      <w:proofErr w:type="spellStart"/>
      <w:r w:rsidRPr="006F634C">
        <w:rPr>
          <w:rFonts w:ascii="Times New Roman" w:hAnsi="Times New Roman"/>
        </w:rPr>
        <w:t>binucleate</w:t>
      </w:r>
      <w:proofErr w:type="spellEnd"/>
      <w:r w:rsidRPr="006F634C">
        <w:rPr>
          <w:rFonts w:ascii="Times New Roman" w:hAnsi="Times New Roman"/>
        </w:rPr>
        <w:t xml:space="preserve"> lymphocytes.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Unlike patients with persistent polyclonal B-cell lymphocytosis, our patient did not have a circulating lymphocytosis, and was not a smoker.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Infectious etiologies may also result in a polyclonal reactive lymphocytosis.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Viral infections include Epstein-Barr virus infection, particularly infectious mononucleosis.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However, other viral infections including cytomegalovirus, hepatitis viruses, measles, mumps, and rubella for example may also result in a reactive lymphocytosis.</w:t>
      </w:r>
      <w:r w:rsidR="00775C40">
        <w:rPr>
          <w:rFonts w:ascii="Times New Roman" w:hAnsi="Times New Roman"/>
        </w:rPr>
        <w:t xml:space="preserve"> </w:t>
      </w:r>
      <w:r w:rsidRPr="00D71D80">
        <w:rPr>
          <w:rFonts w:ascii="Times New Roman" w:hAnsi="Times New Roman"/>
          <w:i/>
          <w:color w:val="FF0000"/>
        </w:rPr>
        <w:t>Mycobacterium tuberculosis</w:t>
      </w:r>
      <w:r w:rsidRPr="006F634C">
        <w:rPr>
          <w:rFonts w:ascii="Times New Roman" w:hAnsi="Times New Roman"/>
        </w:rPr>
        <w:t xml:space="preserve"> infection also may result in a chronic lymphocytosis.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Acute bacterial infections result, most often, in an acute neutrophilic leukocytosis, however, there are bacterial infections which can incite a lymphocytosis.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 xml:space="preserve">Some of these include brucellosis, </w:t>
      </w:r>
      <w:proofErr w:type="spellStart"/>
      <w:r w:rsidRPr="00606576">
        <w:rPr>
          <w:rFonts w:ascii="Times New Roman" w:hAnsi="Times New Roman"/>
          <w:i/>
          <w:color w:val="FF0000"/>
        </w:rPr>
        <w:t>Bordetella</w:t>
      </w:r>
      <w:proofErr w:type="spellEnd"/>
      <w:r w:rsidRPr="00606576">
        <w:rPr>
          <w:rFonts w:ascii="Times New Roman" w:hAnsi="Times New Roman"/>
          <w:i/>
          <w:color w:val="FF0000"/>
        </w:rPr>
        <w:t xml:space="preserve"> pertussis</w:t>
      </w:r>
      <w:r w:rsidRPr="006F634C">
        <w:rPr>
          <w:rFonts w:ascii="Times New Roman" w:hAnsi="Times New Roman"/>
        </w:rPr>
        <w:t xml:space="preserve">, and </w:t>
      </w:r>
      <w:proofErr w:type="spellStart"/>
      <w:r w:rsidRPr="00FA2D44">
        <w:rPr>
          <w:rFonts w:ascii="Times New Roman" w:hAnsi="Times New Roman"/>
          <w:i/>
          <w:color w:val="FF0000"/>
        </w:rPr>
        <w:t>Bartonella</w:t>
      </w:r>
      <w:proofErr w:type="spellEnd"/>
      <w:r w:rsidRPr="00FA2D44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FA2D44">
        <w:rPr>
          <w:rFonts w:ascii="Times New Roman" w:hAnsi="Times New Roman"/>
          <w:i/>
          <w:color w:val="FF0000"/>
        </w:rPr>
        <w:t>henselae</w:t>
      </w:r>
      <w:proofErr w:type="spellEnd"/>
      <w:r w:rsidRPr="006F634C">
        <w:rPr>
          <w:rFonts w:ascii="Times New Roman" w:hAnsi="Times New Roman"/>
        </w:rPr>
        <w:t>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Finally, lymphocytosis may be associated with a variety of parasitic infestations.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Collagen vascular diseases may result in a reactive lymphocytosis.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Allergic and hypersensitivity reactions may also result in a lymphocytosis, particularly hypersensitivity reaction</w:t>
      </w:r>
      <w:r w:rsidR="002E359A">
        <w:rPr>
          <w:rFonts w:ascii="Times New Roman" w:hAnsi="Times New Roman"/>
        </w:rPr>
        <w:t xml:space="preserve">s to a variety of medications. </w:t>
      </w:r>
      <w:r w:rsidR="002E359A" w:rsidRPr="002E359A">
        <w:rPr>
          <w:rFonts w:ascii="Times New Roman" w:hAnsi="Times New Roman"/>
          <w:color w:val="FF0000"/>
        </w:rPr>
        <w:t>[</w:t>
      </w:r>
      <w:r w:rsidRPr="002E359A">
        <w:rPr>
          <w:rFonts w:ascii="Times New Roman" w:hAnsi="Times New Roman"/>
          <w:color w:val="FF0000"/>
        </w:rPr>
        <w:t>2,3</w:t>
      </w:r>
      <w:r w:rsidR="002E359A" w:rsidRPr="002E359A">
        <w:rPr>
          <w:rFonts w:ascii="Times New Roman" w:hAnsi="Times New Roman"/>
          <w:color w:val="FF0000"/>
        </w:rPr>
        <w:t>]</w:t>
      </w:r>
      <w:r w:rsidRPr="006F634C">
        <w:rPr>
          <w:rFonts w:ascii="Times New Roman" w:hAnsi="Times New Roman"/>
        </w:rPr>
        <w:t xml:space="preserve"> Although this wide spectrum of conditions may result in a reactive lymphocytosis, it is important to recognize that it is typically a reactive T cell predominant lymphocytosis, and not a polyclonal B cell lymphocytosis. </w:t>
      </w: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  <w:r w:rsidRPr="006F634C">
        <w:rPr>
          <w:rFonts w:ascii="Times New Roman" w:hAnsi="Times New Roman"/>
        </w:rPr>
        <w:t xml:space="preserve">In the patient reported herein, an extensive clinical evaluation for causes of a polyclonal B-cell lymphocytosis </w:t>
      </w:r>
      <w:proofErr w:type="gramStart"/>
      <w:r w:rsidRPr="006F634C">
        <w:rPr>
          <w:rFonts w:ascii="Times New Roman" w:hAnsi="Times New Roman"/>
        </w:rPr>
        <w:t>was pursued</w:t>
      </w:r>
      <w:proofErr w:type="gramEnd"/>
      <w:r w:rsidRPr="006F634C">
        <w:rPr>
          <w:rFonts w:ascii="Times New Roman" w:hAnsi="Times New Roman"/>
        </w:rPr>
        <w:t xml:space="preserve"> and no apparent etiology for this reaction was identified.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 xml:space="preserve">However, once it was recognized that the patient had had a Covid-19 vaccination 49 days prior to the bone marrow </w:t>
      </w:r>
      <w:proofErr w:type="gramStart"/>
      <w:r w:rsidRPr="006F634C">
        <w:rPr>
          <w:rFonts w:ascii="Times New Roman" w:hAnsi="Times New Roman"/>
        </w:rPr>
        <w:t>biopsy,</w:t>
      </w:r>
      <w:proofErr w:type="gramEnd"/>
      <w:r w:rsidRPr="006F634C">
        <w:rPr>
          <w:rFonts w:ascii="Times New Roman" w:hAnsi="Times New Roman"/>
        </w:rPr>
        <w:t xml:space="preserve"> it became apparent that this polyclonal B-cell lymphocytosis was best explained by an immune response to this vaccination. In a study evaluating the immunogenicity of the Johnson and Johnson Ad26.COV2.S vaccine, that this patient received it </w:t>
      </w:r>
      <w:proofErr w:type="gramStart"/>
      <w:r w:rsidRPr="006F634C">
        <w:rPr>
          <w:rFonts w:ascii="Times New Roman" w:hAnsi="Times New Roman"/>
        </w:rPr>
        <w:t>was found</w:t>
      </w:r>
      <w:proofErr w:type="gramEnd"/>
      <w:r w:rsidRPr="006F634C">
        <w:rPr>
          <w:rFonts w:ascii="Times New Roman" w:hAnsi="Times New Roman"/>
        </w:rPr>
        <w:t xml:space="preserve"> that by day 8 after immunization binding antibodies were detected in 90% of vaccine recipients and neutralizing antibodies were found in 25%.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 xml:space="preserve">By </w:t>
      </w:r>
      <w:r w:rsidR="00652CA8" w:rsidRPr="006F634C">
        <w:rPr>
          <w:rFonts w:ascii="Times New Roman" w:hAnsi="Times New Roman"/>
        </w:rPr>
        <w:t>day,</w:t>
      </w:r>
      <w:r w:rsidRPr="006F634C">
        <w:rPr>
          <w:rFonts w:ascii="Times New Roman" w:hAnsi="Times New Roman"/>
        </w:rPr>
        <w:t xml:space="preserve"> 71 binding and neutralizing antibodies </w:t>
      </w:r>
      <w:proofErr w:type="gramStart"/>
      <w:r w:rsidRPr="006F634C">
        <w:rPr>
          <w:rFonts w:ascii="Times New Roman" w:hAnsi="Times New Roman"/>
        </w:rPr>
        <w:t>were detected</w:t>
      </w:r>
      <w:proofErr w:type="gramEnd"/>
      <w:r w:rsidRPr="006F634C">
        <w:rPr>
          <w:rFonts w:ascii="Times New Roman" w:hAnsi="Times New Roman"/>
        </w:rPr>
        <w:t xml:space="preserve"> in</w:t>
      </w:r>
      <w:r w:rsidR="002E359A">
        <w:rPr>
          <w:rFonts w:ascii="Times New Roman" w:hAnsi="Times New Roman"/>
        </w:rPr>
        <w:t xml:space="preserve"> 100% of vaccine recipients. </w:t>
      </w:r>
      <w:r w:rsidR="002E359A" w:rsidRPr="002E359A">
        <w:rPr>
          <w:rFonts w:ascii="Times New Roman" w:hAnsi="Times New Roman"/>
          <w:color w:val="FF0000"/>
        </w:rPr>
        <w:t>[4]</w:t>
      </w:r>
      <w:r w:rsidR="002E359A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In a separate study, albeit with a different (Pfizer) Covid-19 vaccine, vaccination resulted in vaccine-</w:t>
      </w:r>
      <w:r w:rsidR="00652CA8">
        <w:rPr>
          <w:rFonts w:ascii="Times New Roman" w:hAnsi="Times New Roman"/>
        </w:rPr>
        <w:t xml:space="preserve">induced germinal center B cells, </w:t>
      </w:r>
      <w:r w:rsidRPr="006F634C">
        <w:rPr>
          <w:rFonts w:ascii="Times New Roman" w:hAnsi="Times New Roman"/>
        </w:rPr>
        <w:t xml:space="preserve">which </w:t>
      </w:r>
      <w:proofErr w:type="gramStart"/>
      <w:r w:rsidRPr="006F634C">
        <w:rPr>
          <w:rFonts w:ascii="Times New Roman" w:hAnsi="Times New Roman"/>
        </w:rPr>
        <w:t>were maintained</w:t>
      </w:r>
      <w:proofErr w:type="gramEnd"/>
      <w:r w:rsidRPr="006F634C">
        <w:rPr>
          <w:rFonts w:ascii="Times New Roman" w:hAnsi="Times New Roman"/>
        </w:rPr>
        <w:t xml:space="preserve"> at peak frequency in draining lymph nodes for</w:t>
      </w:r>
      <w:r w:rsidR="002E359A">
        <w:rPr>
          <w:rFonts w:ascii="Times New Roman" w:hAnsi="Times New Roman"/>
        </w:rPr>
        <w:t xml:space="preserve"> at least 12 weeks duration. </w:t>
      </w:r>
      <w:r w:rsidR="002E359A" w:rsidRPr="002E359A">
        <w:rPr>
          <w:rFonts w:ascii="Times New Roman" w:hAnsi="Times New Roman"/>
          <w:color w:val="FF0000"/>
        </w:rPr>
        <w:t>[4]</w:t>
      </w:r>
      <w:r w:rsidRPr="006F634C">
        <w:rPr>
          <w:rFonts w:ascii="Times New Roman" w:hAnsi="Times New Roman"/>
        </w:rPr>
        <w:t xml:space="preserve"> It is a reasonable conclusion that the polyclonal B cell lymphocytosis detected in this patient’s bone marrow biopsy on day 49 following vaccination is consistent with an active B cell immunologic response and fits well with the time scale for the evolving immunogenicity of the vaccine. </w:t>
      </w: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</w:p>
    <w:p w:rsidR="006702AF" w:rsidRPr="000A0203" w:rsidRDefault="00256EEE" w:rsidP="0015047C">
      <w:pPr>
        <w:pStyle w:val="ELC10pt"/>
        <w:contextualSpacing/>
        <w:mirrorIndents/>
        <w:jc w:val="both"/>
        <w:rPr>
          <w:rFonts w:ascii="Times New Roman" w:hAnsi="Times New Roman"/>
          <w:b/>
          <w:sz w:val="22"/>
          <w:szCs w:val="22"/>
        </w:rPr>
      </w:pPr>
      <w:r w:rsidRPr="000A0203">
        <w:rPr>
          <w:rFonts w:ascii="Times New Roman" w:hAnsi="Times New Roman"/>
          <w:b/>
          <w:sz w:val="22"/>
          <w:szCs w:val="22"/>
        </w:rPr>
        <w:t>Conclusion</w:t>
      </w: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  <w:b/>
        </w:rPr>
      </w:pPr>
    </w:p>
    <w:p w:rsidR="006702AF" w:rsidRPr="006F634C" w:rsidRDefault="006702AF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  <w:r w:rsidRPr="006F634C">
        <w:rPr>
          <w:rFonts w:ascii="Times New Roman" w:hAnsi="Times New Roman"/>
        </w:rPr>
        <w:t xml:space="preserve">A case of a patient </w:t>
      </w:r>
      <w:r w:rsidR="004214DA" w:rsidRPr="006F634C">
        <w:rPr>
          <w:rFonts w:ascii="Times New Roman" w:hAnsi="Times New Roman"/>
        </w:rPr>
        <w:t xml:space="preserve">with diffuse large B cell lymphoma, NOS </w:t>
      </w:r>
      <w:r w:rsidRPr="006F634C">
        <w:rPr>
          <w:rFonts w:ascii="Times New Roman" w:hAnsi="Times New Roman"/>
        </w:rPr>
        <w:t xml:space="preserve">who received the </w:t>
      </w:r>
      <w:r w:rsidR="00BC4BFF" w:rsidRPr="006F634C">
        <w:rPr>
          <w:rFonts w:ascii="Times New Roman" w:hAnsi="Times New Roman"/>
        </w:rPr>
        <w:t xml:space="preserve">Ad26.COV2.S </w:t>
      </w:r>
      <w:r w:rsidRPr="006F634C">
        <w:rPr>
          <w:rFonts w:ascii="Times New Roman" w:hAnsi="Times New Roman"/>
        </w:rPr>
        <w:t xml:space="preserve">Johnson and Johnson single Covid-19 vaccine </w:t>
      </w:r>
      <w:r w:rsidR="00BC4BFF" w:rsidRPr="006F634C">
        <w:rPr>
          <w:rFonts w:ascii="Times New Roman" w:hAnsi="Times New Roman"/>
        </w:rPr>
        <w:t xml:space="preserve">27 days prior to the diagnosis of lymphoma </w:t>
      </w:r>
      <w:proofErr w:type="gramStart"/>
      <w:r w:rsidRPr="006F634C">
        <w:rPr>
          <w:rFonts w:ascii="Times New Roman" w:hAnsi="Times New Roman"/>
        </w:rPr>
        <w:t>is reported</w:t>
      </w:r>
      <w:proofErr w:type="gramEnd"/>
      <w:r w:rsidRPr="006F634C">
        <w:rPr>
          <w:rFonts w:ascii="Times New Roman" w:hAnsi="Times New Roman"/>
        </w:rPr>
        <w:t>. 49 days after the vaccination, a</w:t>
      </w:r>
      <w:r w:rsidR="000A0203">
        <w:rPr>
          <w:rFonts w:ascii="Times New Roman" w:hAnsi="Times New Roman"/>
        </w:rPr>
        <w:t xml:space="preserve"> staging bone marrow biopsy </w:t>
      </w:r>
      <w:proofErr w:type="gramStart"/>
      <w:r w:rsidR="000A0203">
        <w:rPr>
          <w:rFonts w:ascii="Times New Roman" w:hAnsi="Times New Roman"/>
        </w:rPr>
        <w:t xml:space="preserve">was </w:t>
      </w:r>
      <w:r w:rsidRPr="006F634C">
        <w:rPr>
          <w:rFonts w:ascii="Times New Roman" w:hAnsi="Times New Roman"/>
        </w:rPr>
        <w:t>performed</w:t>
      </w:r>
      <w:proofErr w:type="gramEnd"/>
      <w:r w:rsidRPr="006F634C">
        <w:rPr>
          <w:rFonts w:ascii="Times New Roman" w:hAnsi="Times New Roman"/>
        </w:rPr>
        <w:t xml:space="preserve"> and it showed no evidence of lymphoma.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It did show a polyclona</w:t>
      </w:r>
      <w:r w:rsidR="000A0203">
        <w:rPr>
          <w:rFonts w:ascii="Times New Roman" w:hAnsi="Times New Roman"/>
        </w:rPr>
        <w:t xml:space="preserve">l reactive B cell </w:t>
      </w:r>
      <w:proofErr w:type="gramStart"/>
      <w:r w:rsidR="000A0203">
        <w:rPr>
          <w:rFonts w:ascii="Times New Roman" w:hAnsi="Times New Roman"/>
        </w:rPr>
        <w:t xml:space="preserve">lymphocytosis </w:t>
      </w:r>
      <w:r w:rsidRPr="006F634C">
        <w:rPr>
          <w:rFonts w:ascii="Times New Roman" w:hAnsi="Times New Roman"/>
        </w:rPr>
        <w:t>which</w:t>
      </w:r>
      <w:proofErr w:type="gramEnd"/>
      <w:r w:rsidRPr="006F634C">
        <w:rPr>
          <w:rFonts w:ascii="Times New Roman" w:hAnsi="Times New Roman"/>
        </w:rPr>
        <w:t xml:space="preserve"> was ascribed to the prior vaccination.</w:t>
      </w:r>
      <w:r w:rsidR="00775C40">
        <w:rPr>
          <w:rFonts w:ascii="Times New Roman" w:hAnsi="Times New Roman"/>
        </w:rPr>
        <w:t xml:space="preserve"> </w:t>
      </w:r>
      <w:r w:rsidRPr="006F634C">
        <w:rPr>
          <w:rFonts w:ascii="Times New Roman" w:hAnsi="Times New Roman"/>
        </w:rPr>
        <w:t>Given the public health campaign for universal vaccination, it will be important to recognize this as a cause of a reactive polyclonal B cell lymphocytosis in the bone marrow and include it the differential diagnosis of this condition.</w:t>
      </w:r>
    </w:p>
    <w:p w:rsidR="004B3FA5" w:rsidRPr="006F634C" w:rsidRDefault="004B3FA5" w:rsidP="0015047C">
      <w:pPr>
        <w:pStyle w:val="ELC10pt"/>
        <w:contextualSpacing/>
        <w:mirrorIndents/>
        <w:jc w:val="both"/>
        <w:rPr>
          <w:rFonts w:ascii="Times New Roman" w:hAnsi="Times New Roman"/>
        </w:rPr>
      </w:pPr>
    </w:p>
    <w:p w:rsidR="004B3FA5" w:rsidRPr="000A0203" w:rsidRDefault="00D1190F" w:rsidP="0015047C">
      <w:pPr>
        <w:contextualSpacing/>
        <w:mirrorIndents/>
        <w:jc w:val="both"/>
        <w:rPr>
          <w:b/>
          <w:sz w:val="22"/>
          <w:szCs w:val="22"/>
        </w:rPr>
      </w:pPr>
      <w:r w:rsidRPr="000A0203">
        <w:rPr>
          <w:b/>
          <w:sz w:val="22"/>
          <w:szCs w:val="22"/>
        </w:rPr>
        <w:t xml:space="preserve">Patient </w:t>
      </w:r>
      <w:r w:rsidR="000A0203" w:rsidRPr="000A0203">
        <w:rPr>
          <w:b/>
          <w:sz w:val="22"/>
          <w:szCs w:val="22"/>
        </w:rPr>
        <w:t>Consent Information</w:t>
      </w:r>
    </w:p>
    <w:p w:rsidR="00D1190F" w:rsidRPr="006F634C" w:rsidRDefault="00D1190F" w:rsidP="0015047C">
      <w:pPr>
        <w:contextualSpacing/>
        <w:mirrorIndents/>
        <w:jc w:val="both"/>
        <w:rPr>
          <w:sz w:val="20"/>
          <w:szCs w:val="20"/>
        </w:rPr>
      </w:pPr>
    </w:p>
    <w:p w:rsidR="006702AF" w:rsidRDefault="004B3FA5" w:rsidP="0015047C">
      <w:pPr>
        <w:contextualSpacing/>
        <w:mirrorIndents/>
        <w:jc w:val="both"/>
        <w:rPr>
          <w:sz w:val="20"/>
          <w:szCs w:val="20"/>
        </w:rPr>
      </w:pPr>
      <w:r w:rsidRPr="006F634C">
        <w:rPr>
          <w:sz w:val="20"/>
          <w:szCs w:val="20"/>
        </w:rPr>
        <w:t>The patient in this case report has been completely and entirely de-identified.</w:t>
      </w:r>
      <w:r w:rsidR="00775C40">
        <w:rPr>
          <w:sz w:val="20"/>
          <w:szCs w:val="20"/>
        </w:rPr>
        <w:t xml:space="preserve"> </w:t>
      </w:r>
      <w:r w:rsidRPr="006F634C">
        <w:rPr>
          <w:sz w:val="20"/>
          <w:szCs w:val="20"/>
        </w:rPr>
        <w:t xml:space="preserve">The author confirms that the absence of this </w:t>
      </w:r>
      <w:proofErr w:type="gramStart"/>
      <w:r w:rsidRPr="006F634C">
        <w:rPr>
          <w:sz w:val="20"/>
          <w:szCs w:val="20"/>
        </w:rPr>
        <w:t>does not in any way detract</w:t>
      </w:r>
      <w:proofErr w:type="gramEnd"/>
      <w:r w:rsidRPr="006F634C">
        <w:rPr>
          <w:sz w:val="20"/>
          <w:szCs w:val="20"/>
        </w:rPr>
        <w:t xml:space="preserve"> from the accuracy and value of this case report.</w:t>
      </w:r>
    </w:p>
    <w:p w:rsidR="002F66B6" w:rsidRDefault="002F66B6" w:rsidP="0015047C">
      <w:pPr>
        <w:contextualSpacing/>
        <w:mirrorIndents/>
        <w:jc w:val="both"/>
        <w:rPr>
          <w:sz w:val="20"/>
          <w:szCs w:val="20"/>
        </w:rPr>
      </w:pPr>
    </w:p>
    <w:p w:rsidR="002F66B6" w:rsidRPr="00EC6BDE" w:rsidRDefault="002F66B6" w:rsidP="002F66B6">
      <w:pPr>
        <w:contextualSpacing/>
        <w:mirrorIndents/>
        <w:jc w:val="both"/>
        <w:rPr>
          <w:b/>
          <w:sz w:val="22"/>
          <w:szCs w:val="22"/>
        </w:rPr>
      </w:pPr>
      <w:r w:rsidRPr="00EC6BDE">
        <w:rPr>
          <w:b/>
          <w:sz w:val="22"/>
          <w:szCs w:val="22"/>
        </w:rPr>
        <w:t>Declaration of Interests</w:t>
      </w:r>
    </w:p>
    <w:p w:rsidR="002F66B6" w:rsidRPr="002F66B6" w:rsidRDefault="002F66B6" w:rsidP="002F66B6">
      <w:pPr>
        <w:contextualSpacing/>
        <w:mirrorIndents/>
        <w:jc w:val="both"/>
        <w:rPr>
          <w:sz w:val="20"/>
          <w:szCs w:val="20"/>
        </w:rPr>
      </w:pPr>
      <w:r w:rsidRPr="002F66B6">
        <w:rPr>
          <w:sz w:val="20"/>
          <w:szCs w:val="20"/>
        </w:rPr>
        <w:t xml:space="preserve"> </w:t>
      </w:r>
    </w:p>
    <w:p w:rsidR="002F66B6" w:rsidRPr="002F66B6" w:rsidRDefault="002F66B6" w:rsidP="002F66B6">
      <w:pPr>
        <w:contextualSpacing/>
        <w:mirrorIndents/>
        <w:jc w:val="both"/>
        <w:rPr>
          <w:sz w:val="20"/>
          <w:szCs w:val="20"/>
        </w:rPr>
      </w:pPr>
      <w:r w:rsidRPr="002F66B6">
        <w:rPr>
          <w:sz w:val="20"/>
          <w:szCs w:val="20"/>
        </w:rPr>
        <w:t>The authors declare that they have no known competing financial interests or personal relationships that could have appeared to influence the work reported in this paper.</w:t>
      </w:r>
    </w:p>
    <w:p w:rsidR="002F66B6" w:rsidRDefault="002F66B6" w:rsidP="002F66B6">
      <w:pPr>
        <w:contextualSpacing/>
        <w:mirrorIndents/>
        <w:jc w:val="both"/>
        <w:rPr>
          <w:sz w:val="20"/>
          <w:szCs w:val="20"/>
        </w:rPr>
      </w:pPr>
    </w:p>
    <w:p w:rsidR="002F66B6" w:rsidRDefault="002F66B6" w:rsidP="002F66B6">
      <w:pPr>
        <w:contextualSpacing/>
        <w:mirrorIndents/>
        <w:jc w:val="both"/>
        <w:rPr>
          <w:sz w:val="20"/>
          <w:szCs w:val="20"/>
        </w:rPr>
      </w:pPr>
      <w:r w:rsidRPr="002F66B6">
        <w:rPr>
          <w:sz w:val="20"/>
          <w:szCs w:val="20"/>
        </w:rPr>
        <w:t xml:space="preserve">The authors declare the following financial interests/personal </w:t>
      </w:r>
      <w:proofErr w:type="gramStart"/>
      <w:r w:rsidRPr="002F66B6">
        <w:rPr>
          <w:sz w:val="20"/>
          <w:szCs w:val="20"/>
        </w:rPr>
        <w:t>relationships which</w:t>
      </w:r>
      <w:proofErr w:type="gramEnd"/>
      <w:r w:rsidRPr="002F66B6">
        <w:rPr>
          <w:sz w:val="20"/>
          <w:szCs w:val="20"/>
        </w:rPr>
        <w:t xml:space="preserve"> may be considered a</w:t>
      </w:r>
      <w:r w:rsidR="00980822">
        <w:rPr>
          <w:sz w:val="20"/>
          <w:szCs w:val="20"/>
        </w:rPr>
        <w:t>s potential competing interests.</w:t>
      </w:r>
    </w:p>
    <w:p w:rsidR="00980822" w:rsidRDefault="00980822" w:rsidP="002F66B6">
      <w:pPr>
        <w:contextualSpacing/>
        <w:mirrorIndents/>
        <w:jc w:val="both"/>
        <w:rPr>
          <w:sz w:val="20"/>
          <w:szCs w:val="20"/>
        </w:rPr>
      </w:pPr>
    </w:p>
    <w:p w:rsidR="00980822" w:rsidRPr="00E11C53" w:rsidRDefault="00980822" w:rsidP="00980822">
      <w:pPr>
        <w:contextualSpacing/>
        <w:mirrorIndents/>
        <w:jc w:val="both"/>
        <w:rPr>
          <w:b/>
          <w:sz w:val="22"/>
          <w:szCs w:val="22"/>
        </w:rPr>
      </w:pPr>
      <w:r w:rsidRPr="00E11C53">
        <w:rPr>
          <w:b/>
          <w:sz w:val="22"/>
          <w:szCs w:val="22"/>
        </w:rPr>
        <w:t>Declaration of Interest Statement</w:t>
      </w:r>
    </w:p>
    <w:p w:rsidR="00E11C53" w:rsidRPr="00E11C53" w:rsidRDefault="00E11C53" w:rsidP="00980822">
      <w:pPr>
        <w:contextualSpacing/>
        <w:mirrorIndents/>
        <w:jc w:val="both"/>
        <w:rPr>
          <w:sz w:val="20"/>
          <w:szCs w:val="20"/>
        </w:rPr>
      </w:pPr>
    </w:p>
    <w:p w:rsidR="00980822" w:rsidRPr="00980822" w:rsidRDefault="00980822" w:rsidP="00980822">
      <w:pPr>
        <w:contextualSpacing/>
        <w:mirrorIndents/>
        <w:jc w:val="both"/>
        <w:rPr>
          <w:sz w:val="20"/>
          <w:szCs w:val="20"/>
        </w:rPr>
      </w:pPr>
      <w:r w:rsidRPr="00980822">
        <w:rPr>
          <w:sz w:val="20"/>
          <w:szCs w:val="20"/>
        </w:rPr>
        <w:t>I, Charles M. Lombard, M.D.</w:t>
      </w:r>
      <w:r w:rsidR="00E828BC">
        <w:rPr>
          <w:sz w:val="20"/>
          <w:szCs w:val="20"/>
        </w:rPr>
        <w:t xml:space="preserve"> </w:t>
      </w:r>
      <w:r w:rsidRPr="00980822">
        <w:rPr>
          <w:sz w:val="20"/>
          <w:szCs w:val="20"/>
        </w:rPr>
        <w:t xml:space="preserve">am entirely </w:t>
      </w:r>
      <w:proofErr w:type="spellStart"/>
      <w:proofErr w:type="gramStart"/>
      <w:r w:rsidRPr="00980822">
        <w:rPr>
          <w:sz w:val="20"/>
          <w:szCs w:val="20"/>
        </w:rPr>
        <w:t>self funded</w:t>
      </w:r>
      <w:proofErr w:type="spellEnd"/>
      <w:proofErr w:type="gramEnd"/>
      <w:r w:rsidRPr="00980822">
        <w:rPr>
          <w:sz w:val="20"/>
          <w:szCs w:val="20"/>
        </w:rPr>
        <w:t xml:space="preserve"> and have no financial or personal ties/relationships with any people or organizations that could inappropriately influence this work.</w:t>
      </w:r>
      <w:r w:rsidR="00E828BC">
        <w:rPr>
          <w:sz w:val="20"/>
          <w:szCs w:val="20"/>
        </w:rPr>
        <w:t xml:space="preserve"> </w:t>
      </w:r>
      <w:r w:rsidRPr="00980822">
        <w:rPr>
          <w:sz w:val="20"/>
          <w:szCs w:val="20"/>
        </w:rPr>
        <w:t>I have no competing interests that might influence this work in any way.</w:t>
      </w:r>
    </w:p>
    <w:p w:rsidR="006702AF" w:rsidRPr="000A0203" w:rsidRDefault="0054490E" w:rsidP="000A0203">
      <w:pPr>
        <w:contextualSpacing/>
        <w:mirrorIndents/>
        <w:jc w:val="center"/>
        <w:rPr>
          <w:b/>
          <w:sz w:val="22"/>
          <w:szCs w:val="22"/>
        </w:rPr>
      </w:pPr>
      <w:r w:rsidRPr="000A0203">
        <w:rPr>
          <w:b/>
          <w:sz w:val="22"/>
          <w:szCs w:val="22"/>
        </w:rPr>
        <w:lastRenderedPageBreak/>
        <w:t>References</w:t>
      </w:r>
    </w:p>
    <w:p w:rsidR="009B1BCD" w:rsidRDefault="009B1BCD" w:rsidP="002E359A">
      <w:pPr>
        <w:contextualSpacing/>
        <w:mirrorIndents/>
        <w:jc w:val="both"/>
        <w:rPr>
          <w:b/>
          <w:sz w:val="20"/>
          <w:szCs w:val="20"/>
        </w:rPr>
      </w:pPr>
    </w:p>
    <w:p w:rsidR="002E359A" w:rsidRPr="00AF391C" w:rsidRDefault="0049721D" w:rsidP="00AF391C">
      <w:pPr>
        <w:pStyle w:val="ListParagraph"/>
        <w:numPr>
          <w:ilvl w:val="0"/>
          <w:numId w:val="27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proofErr w:type="spellStart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Troussard</w:t>
        </w:r>
        <w:proofErr w:type="spellEnd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X, Cornet E, </w:t>
        </w:r>
        <w:proofErr w:type="spellStart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Lesesve</w:t>
        </w:r>
        <w:proofErr w:type="spellEnd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JF, et al. (2008) Polyclonal B-cell </w:t>
        </w:r>
        <w:r w:rsidR="009B1BCD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Lymphocytosis </w:t>
        </w:r>
        <w:proofErr w:type="gramStart"/>
        <w:r w:rsidR="009B1BCD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With</w:t>
        </w:r>
        <w:proofErr w:type="gramEnd"/>
        <w:r w:rsidR="009B1BCD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proofErr w:type="spellStart"/>
        <w:r w:rsidR="009B1BCD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Binucleated</w:t>
        </w:r>
        <w:proofErr w:type="spellEnd"/>
        <w:r w:rsidR="009B1BCD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Lymphocytes 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(PPBL). </w:t>
        </w:r>
        <w:proofErr w:type="spellStart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OncoTargets</w:t>
        </w:r>
        <w:proofErr w:type="spellEnd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and Therapy 1: 50-66.</w:t>
        </w:r>
      </w:hyperlink>
    </w:p>
    <w:p w:rsidR="002E359A" w:rsidRPr="00AF391C" w:rsidRDefault="0049721D" w:rsidP="00AF391C">
      <w:pPr>
        <w:pStyle w:val="ListParagraph"/>
        <w:numPr>
          <w:ilvl w:val="0"/>
          <w:numId w:val="27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proofErr w:type="spellStart"/>
        <w:r w:rsidR="009A72D3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Foucar</w:t>
        </w:r>
        <w:proofErr w:type="spellEnd"/>
        <w:r w:rsidR="009A72D3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K (2020)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Non-neoplastic disorders of lymphoid cells. In: </w:t>
        </w:r>
        <w:proofErr w:type="spellStart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Foucar</w:t>
        </w:r>
        <w:proofErr w:type="spellEnd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K</w:t>
        </w:r>
        <w:r w:rsidR="00C47A08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, </w:t>
        </w:r>
        <w:proofErr w:type="spellStart"/>
        <w:r w:rsidR="00C47A08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Reichard</w:t>
        </w:r>
        <w:proofErr w:type="spellEnd"/>
        <w:r w:rsidR="00C47A08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K, </w:t>
        </w:r>
        <w:proofErr w:type="spellStart"/>
        <w:r w:rsidR="00C47A08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Czuchlewski</w:t>
        </w:r>
        <w:proofErr w:type="spellEnd"/>
        <w:r w:rsidR="00C47A08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 (Editors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)</w:t>
        </w:r>
        <w:r w:rsidR="0023197E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Bone Marrow Pathology</w:t>
        </w:r>
        <w:r w:rsidR="002C1E59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</w:t>
        </w:r>
        <w:proofErr w:type="gramStart"/>
        <w:r w:rsidR="002C1E59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</w:t>
        </w:r>
        <w:r w:rsidR="002C1E59" w:rsidRPr="00AF391C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val="none"/>
            <w:vertAlign w:val="superscript"/>
          </w:rPr>
          <w:t>th</w:t>
        </w:r>
        <w:proofErr w:type="gramEnd"/>
        <w:r w:rsidR="002C1E59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dition</w:t>
        </w:r>
        <w:r w:rsidR="002C1E59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)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775C40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Chicago, IL: American Society fo</w:t>
        </w:r>
        <w:r w:rsidR="009A72D3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 Clinical Pathology Press</w:t>
        </w:r>
        <w:r w:rsidR="00D65860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. Pg No: 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486-513.</w:t>
        </w:r>
      </w:hyperlink>
      <w:r w:rsidR="002E359A" w:rsidRPr="00AF3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59A" w:rsidRPr="00AF391C" w:rsidRDefault="0049721D" w:rsidP="00AF391C">
      <w:pPr>
        <w:pStyle w:val="ListParagraph"/>
        <w:numPr>
          <w:ilvl w:val="0"/>
          <w:numId w:val="27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46C20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Chabot-Richards DS, George TI (2014) 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Leuk</w:t>
        </w:r>
        <w:r w:rsidR="00946C20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ocytosis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International </w:t>
        </w:r>
        <w:r w:rsidR="00946C20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 of Laboratory Hematology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36:</w:t>
        </w:r>
        <w:r w:rsidR="00946C20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279-288.</w:t>
        </w:r>
      </w:hyperlink>
    </w:p>
    <w:p w:rsidR="002E359A" w:rsidRPr="00AF391C" w:rsidRDefault="0049721D" w:rsidP="00AF391C">
      <w:pPr>
        <w:pStyle w:val="ListParagraph"/>
        <w:numPr>
          <w:ilvl w:val="0"/>
          <w:numId w:val="27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Stephenson KE, Le Gars M, </w:t>
        </w:r>
        <w:proofErr w:type="spellStart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Sadoff</w:t>
        </w:r>
        <w:proofErr w:type="spellEnd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J, et al.</w:t>
        </w:r>
        <w:r w:rsidR="003A4793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(2021)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Immunogenicity of the Ad26.COV2.S V</w:t>
        </w:r>
        <w:r w:rsidR="003A4793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accine for COVID-19.</w:t>
        </w:r>
        <w:r w:rsidR="00775C40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3A4793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JAMA 325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 1535-1544.</w:t>
        </w:r>
      </w:hyperlink>
    </w:p>
    <w:p w:rsidR="002E359A" w:rsidRPr="00AF391C" w:rsidRDefault="0049721D" w:rsidP="00AF391C">
      <w:pPr>
        <w:pStyle w:val="ListParagraph"/>
        <w:numPr>
          <w:ilvl w:val="0"/>
          <w:numId w:val="27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Turner JS, O’Halloran JA, </w:t>
        </w:r>
        <w:proofErr w:type="spellStart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Kalaidina</w:t>
        </w:r>
        <w:proofErr w:type="spellEnd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E, et al.</w:t>
        </w:r>
        <w:r w:rsidR="006A3522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(2021)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SARS-CoV-2 mRNA v</w:t>
        </w:r>
        <w:r w:rsidR="009B1BCD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accines induce persistent human </w:t>
        </w:r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germinal </w:t>
        </w:r>
        <w:proofErr w:type="spellStart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centre</w:t>
        </w:r>
        <w:proofErr w:type="spellEnd"/>
        <w:r w:rsidR="002E359A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responses</w:t>
        </w:r>
        <w:r w:rsidR="006A3522" w:rsidRPr="00AF391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.</w:t>
        </w:r>
      </w:hyperlink>
    </w:p>
    <w:sectPr w:rsidR="002E359A" w:rsidRPr="00AF391C" w:rsidSect="00043B37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1D" w:rsidRDefault="0049721D" w:rsidP="00E5175D">
      <w:r>
        <w:separator/>
      </w:r>
    </w:p>
  </w:endnote>
  <w:endnote w:type="continuationSeparator" w:id="0">
    <w:p w:rsidR="0049721D" w:rsidRDefault="0049721D" w:rsidP="00E5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1D" w:rsidRDefault="0049721D" w:rsidP="00E5175D">
      <w:r>
        <w:separator/>
      </w:r>
    </w:p>
  </w:footnote>
  <w:footnote w:type="continuationSeparator" w:id="0">
    <w:p w:rsidR="0049721D" w:rsidRDefault="0049721D" w:rsidP="00E5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3E" w:rsidRPr="00756430" w:rsidRDefault="0097583E" w:rsidP="00756430">
    <w:pPr>
      <w:tabs>
        <w:tab w:val="left" w:pos="7426"/>
      </w:tabs>
      <w:contextualSpacing/>
      <w:mirrorIndents/>
      <w:jc w:val="both"/>
      <w:rPr>
        <w:sz w:val="20"/>
        <w:szCs w:val="20"/>
      </w:rPr>
    </w:pPr>
    <w:r w:rsidRPr="0075643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058F71A" wp14:editId="700C5BDC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83E" w:rsidRPr="0026297A" w:rsidRDefault="0097583E" w:rsidP="00756430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26297A">
      <w:rPr>
        <w:sz w:val="22"/>
        <w:szCs w:val="22"/>
      </w:rPr>
      <w:t>Columbus Publishers</w:t>
    </w:r>
  </w:p>
  <w:p w:rsidR="0097583E" w:rsidRPr="0026297A" w:rsidRDefault="0097583E" w:rsidP="00756430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26297A">
      <w:rPr>
        <w:sz w:val="22"/>
        <w:szCs w:val="22"/>
      </w:rPr>
      <w:t>Columbus Journal of Case Reports</w:t>
    </w:r>
  </w:p>
  <w:p w:rsidR="0097583E" w:rsidRPr="0026297A" w:rsidRDefault="0097583E" w:rsidP="00756430">
    <w:pPr>
      <w:contextualSpacing/>
      <w:mirrorIndents/>
      <w:jc w:val="both"/>
      <w:rPr>
        <w:sz w:val="22"/>
        <w:szCs w:val="22"/>
      </w:rPr>
    </w:pPr>
    <w:r w:rsidRPr="0026297A">
      <w:rPr>
        <w:sz w:val="22"/>
        <w:szCs w:val="22"/>
      </w:rPr>
      <w:t>Volume 01: Issue 01</w:t>
    </w:r>
  </w:p>
  <w:p w:rsidR="0097583E" w:rsidRPr="00756430" w:rsidRDefault="00756430" w:rsidP="00756430">
    <w:pPr>
      <w:contextualSpacing/>
      <w:mirrorIndents/>
      <w:jc w:val="both"/>
      <w:rPr>
        <w:sz w:val="20"/>
        <w:szCs w:val="20"/>
      </w:rPr>
    </w:pPr>
    <w:r w:rsidRPr="0026297A">
      <w:rPr>
        <w:sz w:val="22"/>
        <w:szCs w:val="22"/>
      </w:rPr>
      <w:t>Lombard CM</w:t>
    </w:r>
    <w:r w:rsidR="0097583E" w:rsidRPr="0026297A">
      <w:rPr>
        <w:sz w:val="22"/>
        <w:szCs w:val="22"/>
      </w:rPr>
      <w:t>.</w:t>
    </w:r>
    <w:r w:rsidRPr="00756430">
      <w:rPr>
        <w:sz w:val="20"/>
        <w:szCs w:val="20"/>
      </w:rPr>
      <w:t xml:space="preserve"> </w:t>
    </w:r>
  </w:p>
  <w:p w:rsidR="00756430" w:rsidRPr="00756430" w:rsidRDefault="00756430" w:rsidP="00756430">
    <w:pPr>
      <w:contextualSpacing/>
      <w:mirrorIndents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28"/>
    <w:multiLevelType w:val="hybridMultilevel"/>
    <w:tmpl w:val="1CA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064"/>
    <w:multiLevelType w:val="multilevel"/>
    <w:tmpl w:val="20F827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E7E79"/>
    <w:multiLevelType w:val="hybridMultilevel"/>
    <w:tmpl w:val="69F2D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B6E39"/>
    <w:multiLevelType w:val="multilevel"/>
    <w:tmpl w:val="20F827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300DE"/>
    <w:multiLevelType w:val="hybridMultilevel"/>
    <w:tmpl w:val="02D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79FD"/>
    <w:multiLevelType w:val="hybridMultilevel"/>
    <w:tmpl w:val="AF2EEA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A2E34"/>
    <w:multiLevelType w:val="hybridMultilevel"/>
    <w:tmpl w:val="B998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1DCC"/>
    <w:multiLevelType w:val="multilevel"/>
    <w:tmpl w:val="B53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D50D8"/>
    <w:multiLevelType w:val="hybridMultilevel"/>
    <w:tmpl w:val="5804E4C0"/>
    <w:lvl w:ilvl="0" w:tplc="2DDA8D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BFDAAF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BA7A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9603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AA50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A0B7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72F8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CA9B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42A4C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B21764"/>
    <w:multiLevelType w:val="hybridMultilevel"/>
    <w:tmpl w:val="B998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0DC6"/>
    <w:multiLevelType w:val="hybridMultilevel"/>
    <w:tmpl w:val="8B1AE0EA"/>
    <w:lvl w:ilvl="0" w:tplc="EF484C0A">
      <w:start w:val="1"/>
      <w:numFmt w:val="lowerLetter"/>
      <w:lvlText w:val="%1)"/>
      <w:lvlJc w:val="left"/>
      <w:pPr>
        <w:ind w:left="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2BF767BD"/>
    <w:multiLevelType w:val="hybridMultilevel"/>
    <w:tmpl w:val="FE32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D3692"/>
    <w:multiLevelType w:val="hybridMultilevel"/>
    <w:tmpl w:val="71E04054"/>
    <w:lvl w:ilvl="0" w:tplc="2982EA86">
      <w:start w:val="1"/>
      <w:numFmt w:val="decimal"/>
      <w:lvlText w:val="(%1)"/>
      <w:lvlJc w:val="left"/>
      <w:pPr>
        <w:ind w:left="260" w:hanging="39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ar-SA"/>
      </w:rPr>
    </w:lvl>
    <w:lvl w:ilvl="1" w:tplc="A22CEC62">
      <w:numFmt w:val="bullet"/>
      <w:lvlText w:val="•"/>
      <w:lvlJc w:val="left"/>
      <w:pPr>
        <w:ind w:left="1194" w:hanging="399"/>
      </w:pPr>
      <w:rPr>
        <w:rFonts w:hint="default"/>
        <w:lang w:val="en-US" w:eastAsia="en-US" w:bidi="ar-SA"/>
      </w:rPr>
    </w:lvl>
    <w:lvl w:ilvl="2" w:tplc="2D86E268">
      <w:numFmt w:val="bullet"/>
      <w:lvlText w:val="•"/>
      <w:lvlJc w:val="left"/>
      <w:pPr>
        <w:ind w:left="2128" w:hanging="399"/>
      </w:pPr>
      <w:rPr>
        <w:rFonts w:hint="default"/>
        <w:lang w:val="en-US" w:eastAsia="en-US" w:bidi="ar-SA"/>
      </w:rPr>
    </w:lvl>
    <w:lvl w:ilvl="3" w:tplc="67A463E4">
      <w:numFmt w:val="bullet"/>
      <w:lvlText w:val="•"/>
      <w:lvlJc w:val="left"/>
      <w:pPr>
        <w:ind w:left="3062" w:hanging="399"/>
      </w:pPr>
      <w:rPr>
        <w:rFonts w:hint="default"/>
        <w:lang w:val="en-US" w:eastAsia="en-US" w:bidi="ar-SA"/>
      </w:rPr>
    </w:lvl>
    <w:lvl w:ilvl="4" w:tplc="8780D764">
      <w:numFmt w:val="bullet"/>
      <w:lvlText w:val="•"/>
      <w:lvlJc w:val="left"/>
      <w:pPr>
        <w:ind w:left="3996" w:hanging="399"/>
      </w:pPr>
      <w:rPr>
        <w:rFonts w:hint="default"/>
        <w:lang w:val="en-US" w:eastAsia="en-US" w:bidi="ar-SA"/>
      </w:rPr>
    </w:lvl>
    <w:lvl w:ilvl="5" w:tplc="B2806DD6">
      <w:numFmt w:val="bullet"/>
      <w:lvlText w:val="•"/>
      <w:lvlJc w:val="left"/>
      <w:pPr>
        <w:ind w:left="4930" w:hanging="399"/>
      </w:pPr>
      <w:rPr>
        <w:rFonts w:hint="default"/>
        <w:lang w:val="en-US" w:eastAsia="en-US" w:bidi="ar-SA"/>
      </w:rPr>
    </w:lvl>
    <w:lvl w:ilvl="6" w:tplc="1242AD26">
      <w:numFmt w:val="bullet"/>
      <w:lvlText w:val="•"/>
      <w:lvlJc w:val="left"/>
      <w:pPr>
        <w:ind w:left="5864" w:hanging="399"/>
      </w:pPr>
      <w:rPr>
        <w:rFonts w:hint="default"/>
        <w:lang w:val="en-US" w:eastAsia="en-US" w:bidi="ar-SA"/>
      </w:rPr>
    </w:lvl>
    <w:lvl w:ilvl="7" w:tplc="3CAC2480">
      <w:numFmt w:val="bullet"/>
      <w:lvlText w:val="•"/>
      <w:lvlJc w:val="left"/>
      <w:pPr>
        <w:ind w:left="6798" w:hanging="399"/>
      </w:pPr>
      <w:rPr>
        <w:rFonts w:hint="default"/>
        <w:lang w:val="en-US" w:eastAsia="en-US" w:bidi="ar-SA"/>
      </w:rPr>
    </w:lvl>
    <w:lvl w:ilvl="8" w:tplc="8820B0F8">
      <w:numFmt w:val="bullet"/>
      <w:lvlText w:val="•"/>
      <w:lvlJc w:val="left"/>
      <w:pPr>
        <w:ind w:left="7732" w:hanging="399"/>
      </w:pPr>
      <w:rPr>
        <w:rFonts w:hint="default"/>
        <w:lang w:val="en-US" w:eastAsia="en-US" w:bidi="ar-SA"/>
      </w:rPr>
    </w:lvl>
  </w:abstractNum>
  <w:abstractNum w:abstractNumId="13" w15:restartNumberingAfterBreak="0">
    <w:nsid w:val="39762010"/>
    <w:multiLevelType w:val="hybridMultilevel"/>
    <w:tmpl w:val="FEB65670"/>
    <w:lvl w:ilvl="0" w:tplc="6C08D2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37B91"/>
    <w:multiLevelType w:val="hybridMultilevel"/>
    <w:tmpl w:val="782C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6821"/>
    <w:multiLevelType w:val="hybridMultilevel"/>
    <w:tmpl w:val="0E8C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4320"/>
    <w:multiLevelType w:val="hybridMultilevel"/>
    <w:tmpl w:val="C734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213DC"/>
    <w:multiLevelType w:val="hybridMultilevel"/>
    <w:tmpl w:val="363855DA"/>
    <w:lvl w:ilvl="0" w:tplc="289068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CDBF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65B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6974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02C0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CAC9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2E54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B6F0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C7C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2415355"/>
    <w:multiLevelType w:val="hybridMultilevel"/>
    <w:tmpl w:val="47E4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368F1"/>
    <w:multiLevelType w:val="hybridMultilevel"/>
    <w:tmpl w:val="78886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43907"/>
    <w:multiLevelType w:val="hybridMultilevel"/>
    <w:tmpl w:val="BF1A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6DF7"/>
    <w:multiLevelType w:val="hybridMultilevel"/>
    <w:tmpl w:val="E998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F4BB7"/>
    <w:multiLevelType w:val="hybridMultilevel"/>
    <w:tmpl w:val="C60E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23AFD"/>
    <w:multiLevelType w:val="hybridMultilevel"/>
    <w:tmpl w:val="EB4C84C2"/>
    <w:lvl w:ilvl="0" w:tplc="F1B43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D341F"/>
    <w:multiLevelType w:val="hybridMultilevel"/>
    <w:tmpl w:val="843C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0A22"/>
    <w:multiLevelType w:val="multilevel"/>
    <w:tmpl w:val="20F827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A0A2C"/>
    <w:multiLevelType w:val="hybridMultilevel"/>
    <w:tmpl w:val="ED4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7"/>
  </w:num>
  <w:num w:numId="5">
    <w:abstractNumId w:val="26"/>
  </w:num>
  <w:num w:numId="6">
    <w:abstractNumId w:val="1"/>
  </w:num>
  <w:num w:numId="7">
    <w:abstractNumId w:val="3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14"/>
  </w:num>
  <w:num w:numId="13">
    <w:abstractNumId w:val="21"/>
  </w:num>
  <w:num w:numId="14">
    <w:abstractNumId w:val="18"/>
  </w:num>
  <w:num w:numId="15">
    <w:abstractNumId w:val="16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11"/>
  </w:num>
  <w:num w:numId="21">
    <w:abstractNumId w:val="2"/>
  </w:num>
  <w:num w:numId="22">
    <w:abstractNumId w:val="23"/>
  </w:num>
  <w:num w:numId="23">
    <w:abstractNumId w:val="10"/>
  </w:num>
  <w:num w:numId="24">
    <w:abstractNumId w:val="8"/>
  </w:num>
  <w:num w:numId="25">
    <w:abstractNumId w:val="20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5B"/>
    <w:rsid w:val="00002821"/>
    <w:rsid w:val="00005978"/>
    <w:rsid w:val="000221C0"/>
    <w:rsid w:val="00025AC0"/>
    <w:rsid w:val="0002685B"/>
    <w:rsid w:val="000327D8"/>
    <w:rsid w:val="00043B37"/>
    <w:rsid w:val="00047D07"/>
    <w:rsid w:val="000516FC"/>
    <w:rsid w:val="000670EF"/>
    <w:rsid w:val="000707A4"/>
    <w:rsid w:val="000803B8"/>
    <w:rsid w:val="00093D8A"/>
    <w:rsid w:val="00093E90"/>
    <w:rsid w:val="000A0203"/>
    <w:rsid w:val="000A2B67"/>
    <w:rsid w:val="000A4796"/>
    <w:rsid w:val="000A66F4"/>
    <w:rsid w:val="000B47CA"/>
    <w:rsid w:val="000C3FC6"/>
    <w:rsid w:val="000D3088"/>
    <w:rsid w:val="000D57B5"/>
    <w:rsid w:val="000F7CEA"/>
    <w:rsid w:val="000F7CF7"/>
    <w:rsid w:val="00103979"/>
    <w:rsid w:val="00111062"/>
    <w:rsid w:val="00141F83"/>
    <w:rsid w:val="0015047C"/>
    <w:rsid w:val="00152C8F"/>
    <w:rsid w:val="0016581C"/>
    <w:rsid w:val="0017231B"/>
    <w:rsid w:val="0017457D"/>
    <w:rsid w:val="00180EA7"/>
    <w:rsid w:val="00185B69"/>
    <w:rsid w:val="001929DC"/>
    <w:rsid w:val="001B098C"/>
    <w:rsid w:val="001B3505"/>
    <w:rsid w:val="001C012C"/>
    <w:rsid w:val="001C35FA"/>
    <w:rsid w:val="001E21C7"/>
    <w:rsid w:val="001E29E0"/>
    <w:rsid w:val="001F0D37"/>
    <w:rsid w:val="002103F0"/>
    <w:rsid w:val="00214C86"/>
    <w:rsid w:val="0022114E"/>
    <w:rsid w:val="00222A55"/>
    <w:rsid w:val="0023197E"/>
    <w:rsid w:val="00236B5B"/>
    <w:rsid w:val="00246273"/>
    <w:rsid w:val="00247E06"/>
    <w:rsid w:val="00256EEE"/>
    <w:rsid w:val="0026297A"/>
    <w:rsid w:val="002765C5"/>
    <w:rsid w:val="00281596"/>
    <w:rsid w:val="002833E4"/>
    <w:rsid w:val="00295ECB"/>
    <w:rsid w:val="002B4987"/>
    <w:rsid w:val="002C0E58"/>
    <w:rsid w:val="002C1E59"/>
    <w:rsid w:val="002D369C"/>
    <w:rsid w:val="002E359A"/>
    <w:rsid w:val="002E6905"/>
    <w:rsid w:val="002F1317"/>
    <w:rsid w:val="002F2361"/>
    <w:rsid w:val="002F66B6"/>
    <w:rsid w:val="00301BD4"/>
    <w:rsid w:val="00306C61"/>
    <w:rsid w:val="00310D3E"/>
    <w:rsid w:val="00310E7D"/>
    <w:rsid w:val="0031791A"/>
    <w:rsid w:val="003221EA"/>
    <w:rsid w:val="0033292A"/>
    <w:rsid w:val="003479AA"/>
    <w:rsid w:val="003635F0"/>
    <w:rsid w:val="003741D4"/>
    <w:rsid w:val="00375583"/>
    <w:rsid w:val="0038687C"/>
    <w:rsid w:val="003A43B0"/>
    <w:rsid w:val="003A4793"/>
    <w:rsid w:val="003C3AD7"/>
    <w:rsid w:val="003D1EC4"/>
    <w:rsid w:val="003D2D9C"/>
    <w:rsid w:val="003D7303"/>
    <w:rsid w:val="003E5A20"/>
    <w:rsid w:val="004137B2"/>
    <w:rsid w:val="004214DA"/>
    <w:rsid w:val="00427CCB"/>
    <w:rsid w:val="00435016"/>
    <w:rsid w:val="00445F68"/>
    <w:rsid w:val="00446410"/>
    <w:rsid w:val="00457099"/>
    <w:rsid w:val="004771F5"/>
    <w:rsid w:val="00485FAB"/>
    <w:rsid w:val="004865D0"/>
    <w:rsid w:val="00487834"/>
    <w:rsid w:val="0049721D"/>
    <w:rsid w:val="004B0E1D"/>
    <w:rsid w:val="004B3FA5"/>
    <w:rsid w:val="004C62FE"/>
    <w:rsid w:val="004D4D2C"/>
    <w:rsid w:val="004E093E"/>
    <w:rsid w:val="004E4814"/>
    <w:rsid w:val="005148D6"/>
    <w:rsid w:val="00516910"/>
    <w:rsid w:val="00537E5B"/>
    <w:rsid w:val="0054490E"/>
    <w:rsid w:val="00560D88"/>
    <w:rsid w:val="005703C3"/>
    <w:rsid w:val="00575FB6"/>
    <w:rsid w:val="005776EE"/>
    <w:rsid w:val="00586F9D"/>
    <w:rsid w:val="00593882"/>
    <w:rsid w:val="005B3882"/>
    <w:rsid w:val="005B3A43"/>
    <w:rsid w:val="005B6DE6"/>
    <w:rsid w:val="005C0064"/>
    <w:rsid w:val="005C414C"/>
    <w:rsid w:val="005D2328"/>
    <w:rsid w:val="005D3BEF"/>
    <w:rsid w:val="005F1F56"/>
    <w:rsid w:val="00606576"/>
    <w:rsid w:val="006246D0"/>
    <w:rsid w:val="006326C9"/>
    <w:rsid w:val="00640908"/>
    <w:rsid w:val="00643C9C"/>
    <w:rsid w:val="00645965"/>
    <w:rsid w:val="00650003"/>
    <w:rsid w:val="00652CA8"/>
    <w:rsid w:val="0066023D"/>
    <w:rsid w:val="006629F9"/>
    <w:rsid w:val="006668FB"/>
    <w:rsid w:val="006702AF"/>
    <w:rsid w:val="006724EC"/>
    <w:rsid w:val="006735AD"/>
    <w:rsid w:val="00684C67"/>
    <w:rsid w:val="006873B8"/>
    <w:rsid w:val="00694564"/>
    <w:rsid w:val="006A3522"/>
    <w:rsid w:val="006A4F25"/>
    <w:rsid w:val="006C05DE"/>
    <w:rsid w:val="006C4F69"/>
    <w:rsid w:val="006C6F25"/>
    <w:rsid w:val="006E5DB9"/>
    <w:rsid w:val="006E74B1"/>
    <w:rsid w:val="006F2954"/>
    <w:rsid w:val="006F4CD8"/>
    <w:rsid w:val="006F634C"/>
    <w:rsid w:val="00704B6C"/>
    <w:rsid w:val="0070724A"/>
    <w:rsid w:val="007130EA"/>
    <w:rsid w:val="00713132"/>
    <w:rsid w:val="007355C2"/>
    <w:rsid w:val="00735F89"/>
    <w:rsid w:val="007479B9"/>
    <w:rsid w:val="0075373F"/>
    <w:rsid w:val="007560EF"/>
    <w:rsid w:val="00756430"/>
    <w:rsid w:val="0076580E"/>
    <w:rsid w:val="00775C40"/>
    <w:rsid w:val="00776E80"/>
    <w:rsid w:val="00786932"/>
    <w:rsid w:val="00793CC0"/>
    <w:rsid w:val="007B2F80"/>
    <w:rsid w:val="007B60D4"/>
    <w:rsid w:val="007B72F2"/>
    <w:rsid w:val="007C1812"/>
    <w:rsid w:val="007C205D"/>
    <w:rsid w:val="007C796F"/>
    <w:rsid w:val="007D0043"/>
    <w:rsid w:val="007D04B7"/>
    <w:rsid w:val="007E00EC"/>
    <w:rsid w:val="00812B66"/>
    <w:rsid w:val="00821312"/>
    <w:rsid w:val="00847270"/>
    <w:rsid w:val="00865847"/>
    <w:rsid w:val="008719B1"/>
    <w:rsid w:val="00881BBD"/>
    <w:rsid w:val="00883579"/>
    <w:rsid w:val="00897096"/>
    <w:rsid w:val="008A0136"/>
    <w:rsid w:val="008D5DF2"/>
    <w:rsid w:val="008D763C"/>
    <w:rsid w:val="008E1FF1"/>
    <w:rsid w:val="008F3835"/>
    <w:rsid w:val="00903879"/>
    <w:rsid w:val="00906A87"/>
    <w:rsid w:val="0092161B"/>
    <w:rsid w:val="0092696A"/>
    <w:rsid w:val="00946C20"/>
    <w:rsid w:val="009577BE"/>
    <w:rsid w:val="00963BBA"/>
    <w:rsid w:val="00966321"/>
    <w:rsid w:val="009704EA"/>
    <w:rsid w:val="0097583E"/>
    <w:rsid w:val="00980822"/>
    <w:rsid w:val="009876D6"/>
    <w:rsid w:val="009A72D3"/>
    <w:rsid w:val="009B0C99"/>
    <w:rsid w:val="009B1BCD"/>
    <w:rsid w:val="009C4BBC"/>
    <w:rsid w:val="009C5721"/>
    <w:rsid w:val="00A11805"/>
    <w:rsid w:val="00A211B6"/>
    <w:rsid w:val="00A229A5"/>
    <w:rsid w:val="00A42D61"/>
    <w:rsid w:val="00A43B7A"/>
    <w:rsid w:val="00A43FDD"/>
    <w:rsid w:val="00A70389"/>
    <w:rsid w:val="00AC2E96"/>
    <w:rsid w:val="00AD05FB"/>
    <w:rsid w:val="00AD10A8"/>
    <w:rsid w:val="00AE2580"/>
    <w:rsid w:val="00AF391C"/>
    <w:rsid w:val="00AF764B"/>
    <w:rsid w:val="00B03E12"/>
    <w:rsid w:val="00B043F5"/>
    <w:rsid w:val="00B33E3B"/>
    <w:rsid w:val="00B427DB"/>
    <w:rsid w:val="00B70495"/>
    <w:rsid w:val="00B744C1"/>
    <w:rsid w:val="00B8672E"/>
    <w:rsid w:val="00B92B89"/>
    <w:rsid w:val="00BA5BE7"/>
    <w:rsid w:val="00BB506E"/>
    <w:rsid w:val="00BB5A6B"/>
    <w:rsid w:val="00BB5B8E"/>
    <w:rsid w:val="00BC4BFF"/>
    <w:rsid w:val="00BE207F"/>
    <w:rsid w:val="00BF3602"/>
    <w:rsid w:val="00C00349"/>
    <w:rsid w:val="00C13DF6"/>
    <w:rsid w:val="00C22B7F"/>
    <w:rsid w:val="00C335F8"/>
    <w:rsid w:val="00C40109"/>
    <w:rsid w:val="00C47A08"/>
    <w:rsid w:val="00C50309"/>
    <w:rsid w:val="00C53F04"/>
    <w:rsid w:val="00C546D2"/>
    <w:rsid w:val="00C626CA"/>
    <w:rsid w:val="00C62E49"/>
    <w:rsid w:val="00C64F5B"/>
    <w:rsid w:val="00C651BA"/>
    <w:rsid w:val="00C6753A"/>
    <w:rsid w:val="00C7702A"/>
    <w:rsid w:val="00CA12F1"/>
    <w:rsid w:val="00CB76DD"/>
    <w:rsid w:val="00CC0BD8"/>
    <w:rsid w:val="00CD0731"/>
    <w:rsid w:val="00CE134A"/>
    <w:rsid w:val="00CE60D6"/>
    <w:rsid w:val="00D1190F"/>
    <w:rsid w:val="00D35D35"/>
    <w:rsid w:val="00D40526"/>
    <w:rsid w:val="00D443C9"/>
    <w:rsid w:val="00D52720"/>
    <w:rsid w:val="00D52D52"/>
    <w:rsid w:val="00D65860"/>
    <w:rsid w:val="00D71D80"/>
    <w:rsid w:val="00D75968"/>
    <w:rsid w:val="00D85FF5"/>
    <w:rsid w:val="00D93162"/>
    <w:rsid w:val="00DA203A"/>
    <w:rsid w:val="00DB6931"/>
    <w:rsid w:val="00DB75AC"/>
    <w:rsid w:val="00DC5918"/>
    <w:rsid w:val="00DD657E"/>
    <w:rsid w:val="00DD6E80"/>
    <w:rsid w:val="00E00C92"/>
    <w:rsid w:val="00E11C53"/>
    <w:rsid w:val="00E20738"/>
    <w:rsid w:val="00E27A2B"/>
    <w:rsid w:val="00E41721"/>
    <w:rsid w:val="00E5175D"/>
    <w:rsid w:val="00E53F26"/>
    <w:rsid w:val="00E5697C"/>
    <w:rsid w:val="00E64003"/>
    <w:rsid w:val="00E710DD"/>
    <w:rsid w:val="00E828BC"/>
    <w:rsid w:val="00EA5A7D"/>
    <w:rsid w:val="00EB6BE7"/>
    <w:rsid w:val="00EC4205"/>
    <w:rsid w:val="00EC6BDE"/>
    <w:rsid w:val="00ED28C2"/>
    <w:rsid w:val="00EE1072"/>
    <w:rsid w:val="00EE1D00"/>
    <w:rsid w:val="00EF25FD"/>
    <w:rsid w:val="00F03D32"/>
    <w:rsid w:val="00F17D63"/>
    <w:rsid w:val="00F20469"/>
    <w:rsid w:val="00F251C2"/>
    <w:rsid w:val="00F33644"/>
    <w:rsid w:val="00F33908"/>
    <w:rsid w:val="00F43014"/>
    <w:rsid w:val="00F56A13"/>
    <w:rsid w:val="00F61963"/>
    <w:rsid w:val="00F81D14"/>
    <w:rsid w:val="00F85D19"/>
    <w:rsid w:val="00F950B6"/>
    <w:rsid w:val="00FA21A3"/>
    <w:rsid w:val="00FA2D44"/>
    <w:rsid w:val="00FA6F51"/>
    <w:rsid w:val="00FB4FBF"/>
    <w:rsid w:val="00FC76DD"/>
    <w:rsid w:val="00FE3B67"/>
    <w:rsid w:val="00FF031D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AC6E"/>
  <w15:chartTrackingRefBased/>
  <w15:docId w15:val="{163B6A5A-0838-4D12-8AC5-F9932D4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D7303"/>
    <w:pPr>
      <w:widowControl w:val="0"/>
      <w:autoSpaceDE w:val="0"/>
      <w:autoSpaceDN w:val="0"/>
      <w:ind w:left="260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29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29E0"/>
  </w:style>
  <w:style w:type="character" w:styleId="CommentReference">
    <w:name w:val="annotation reference"/>
    <w:basedOn w:val="DefaultParagraphFont"/>
    <w:uiPriority w:val="99"/>
    <w:semiHidden/>
    <w:unhideWhenUsed/>
    <w:rsid w:val="001E2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9E0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E29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E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5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596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0B47CA"/>
  </w:style>
  <w:style w:type="character" w:customStyle="1" w:styleId="apple-converted-space">
    <w:name w:val="apple-converted-space"/>
    <w:basedOn w:val="DefaultParagraphFont"/>
    <w:rsid w:val="000B47CA"/>
  </w:style>
  <w:style w:type="character" w:styleId="Strong">
    <w:name w:val="Strong"/>
    <w:basedOn w:val="DefaultParagraphFont"/>
    <w:uiPriority w:val="22"/>
    <w:qFormat/>
    <w:rsid w:val="000B47C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7C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B47C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CA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C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0B47CA"/>
    <w:pPr>
      <w:spacing w:before="100" w:beforeAutospacing="1" w:after="100" w:afterAutospacing="1"/>
    </w:pPr>
  </w:style>
  <w:style w:type="paragraph" w:customStyle="1" w:styleId="DecimalAligned">
    <w:name w:val="Decimal Aligned"/>
    <w:basedOn w:val="Normal"/>
    <w:uiPriority w:val="40"/>
    <w:qFormat/>
    <w:rsid w:val="000B47C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B47CA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7C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B47CA"/>
    <w:rPr>
      <w:i/>
      <w:iCs/>
    </w:rPr>
  </w:style>
  <w:style w:type="table" w:styleId="LightShading-Accent1">
    <w:name w:val="Light Shading Accent 1"/>
    <w:basedOn w:val="TableNormal"/>
    <w:uiPriority w:val="60"/>
    <w:rsid w:val="000B47C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itation">
    <w:name w:val="citation"/>
    <w:basedOn w:val="Normal"/>
    <w:rsid w:val="000B47C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1"/>
    <w:rsid w:val="003D73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730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3D730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D7303"/>
    <w:pPr>
      <w:widowControl w:val="0"/>
      <w:autoSpaceDE w:val="0"/>
      <w:autoSpaceDN w:val="0"/>
      <w:spacing w:before="86"/>
      <w:ind w:left="260" w:right="27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D730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D7303"/>
    <w:pPr>
      <w:widowControl w:val="0"/>
      <w:autoSpaceDE w:val="0"/>
      <w:autoSpaceDN w:val="0"/>
      <w:ind w:left="842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1D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1D14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uscm">
    <w:name w:val="Paragrafuscím"/>
    <w:basedOn w:val="Heading3"/>
    <w:rsid w:val="00F81D14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Cs w:val="20"/>
      <w:lang w:val="hu-HU" w:eastAsia="hu-HU"/>
    </w:rPr>
  </w:style>
  <w:style w:type="character" w:customStyle="1" w:styleId="Szvegtrzs2">
    <w:name w:val="Szövegtörzs (2)_"/>
    <w:link w:val="Szvegtrzs20"/>
    <w:locked/>
    <w:rsid w:val="00F81D14"/>
    <w:rPr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F81D14"/>
    <w:pPr>
      <w:widowControl w:val="0"/>
      <w:shd w:val="clear" w:color="auto" w:fill="FFFFFF"/>
      <w:spacing w:before="3240" w:line="23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Szvegtrzs3">
    <w:name w:val="Szövegtörzs (3)_"/>
    <w:link w:val="Szvegtrzs30"/>
    <w:locked/>
    <w:rsid w:val="00F81D14"/>
    <w:rPr>
      <w:shd w:val="clear" w:color="auto" w:fill="FFFFFF"/>
    </w:rPr>
  </w:style>
  <w:style w:type="paragraph" w:customStyle="1" w:styleId="Szvegtrzs30">
    <w:name w:val="Szövegtörzs (3)"/>
    <w:basedOn w:val="Normal"/>
    <w:link w:val="Szvegtrzs3"/>
    <w:rsid w:val="00F81D14"/>
    <w:pPr>
      <w:widowControl w:val="0"/>
      <w:shd w:val="clear" w:color="auto" w:fill="FFFFFF"/>
      <w:spacing w:before="480" w:after="60" w:line="233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Szvegtrzs2Dlt">
    <w:name w:val="Szövegtörzs (2) + Dőlt"/>
    <w:rsid w:val="00F81D14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u-HU" w:eastAsia="hu-HU"/>
    </w:rPr>
  </w:style>
  <w:style w:type="character" w:customStyle="1" w:styleId="Szvegtrzs3Dlt">
    <w:name w:val="Szövegtörzs (3) + Dőlt"/>
    <w:rsid w:val="00F81D14"/>
    <w:rPr>
      <w:i/>
      <w:iCs/>
      <w:color w:val="000000"/>
      <w:spacing w:val="0"/>
      <w:w w:val="100"/>
      <w:position w:val="0"/>
      <w:lang w:val="hu-HU" w:eastAsia="hu-HU" w:bidi="ar-SA"/>
    </w:rPr>
  </w:style>
  <w:style w:type="character" w:customStyle="1" w:styleId="Szvegtrzs6">
    <w:name w:val="Szövegtörzs (6)_"/>
    <w:basedOn w:val="DefaultParagraphFont"/>
    <w:link w:val="Szvegtrzs60"/>
    <w:locked/>
    <w:rsid w:val="00F81D14"/>
    <w:rPr>
      <w:b/>
      <w:bCs/>
      <w:sz w:val="21"/>
      <w:szCs w:val="21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F81D14"/>
    <w:pPr>
      <w:widowControl w:val="0"/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A4"/>
    <w:uiPriority w:val="99"/>
    <w:rsid w:val="002765C5"/>
    <w:rPr>
      <w:color w:val="000000"/>
      <w:sz w:val="20"/>
      <w:szCs w:val="20"/>
    </w:rPr>
  </w:style>
  <w:style w:type="paragraph" w:customStyle="1" w:styleId="Default">
    <w:name w:val="Default"/>
    <w:rsid w:val="0027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92696A"/>
    <w:pPr>
      <w:suppressAutoHyphens/>
      <w:spacing w:after="0"/>
    </w:pPr>
    <w:rPr>
      <w:rFonts w:ascii="Arial" w:eastAsia="Arial" w:hAnsi="Arial" w:cs="Arial"/>
      <w:lang w:val="ru-RU" w:eastAsia="ar-SA"/>
    </w:rPr>
  </w:style>
  <w:style w:type="paragraph" w:customStyle="1" w:styleId="ELC10pt">
    <w:name w:val="ELC 10 pt"/>
    <w:basedOn w:val="Normal"/>
    <w:rsid w:val="006702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99421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ture.com/articles/s41586-021-03738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anetwork.com/journals/jama/fullarticle/27775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library.wiley.com/doi/full/10.1111/ijlh.12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Foucar+K+(2020)+Non-neoplastic+disorders+of+lymphoid+cells.+In%3A+Foucar+K%2C+Reichard+K%2C+Czuchlewski+D+(Eds)+Bone+Marrow+Pathology+4th+edition.+Chicago%2C+IL%3A+American+Society+for+Clinical+Pathology+Press+P+486-513.&amp;oq=Foucar+K+(2020)+Non-neoplastic+disorders+of+lymphoid+cells.+In%3A+Foucar+K%2C+Reichard+K%2C+Czuchlewski+D+(Eds)+Bone+Marrow+Pathology++4th+edition.++Chicago%2C+IL%3A+American+Society+for+Clinical+Pathology+Press+P+486-513.&amp;aqs=chrome..69i57.302j0j4&amp;sourceid=chrome&amp;ie=UTF-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William Henry</cp:lastModifiedBy>
  <cp:revision>118</cp:revision>
  <dcterms:created xsi:type="dcterms:W3CDTF">2021-10-27T18:28:00Z</dcterms:created>
  <dcterms:modified xsi:type="dcterms:W3CDTF">2021-11-01T16:13:00Z</dcterms:modified>
</cp:coreProperties>
</file>